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w:t>
      </w:r>
      <w:bookmarkStart w:id="0" w:name="_GoBack"/>
      <w:bookmarkEnd w:id="0"/>
      <w:r>
        <w:rPr>
          <w:rStyle w:val="11"/>
          <w:rFonts w:ascii="黑体" w:eastAsia="黑体" w:cs="宋体"/>
          <w:sz w:val="44"/>
          <w:szCs w:val="44"/>
        </w:rPr>
        <w:t>议</w:t>
      </w:r>
    </w:p>
    <w:p>
      <w:pPr>
        <w:pStyle w:val="19"/>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9"/>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191</w:t>
      </w:r>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类别：社会建设类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hint="eastAsia" w:ascii="宋体" w:hAnsi="宋体" w:eastAsia="宋体" w:cs="宋体"/>
                <w:b/>
                <w:bCs/>
                <w:kern w:val="0"/>
                <w:sz w:val="24"/>
                <w:lang w:eastAsia="zh-CN"/>
              </w:rPr>
            </w:pPr>
            <w:r>
              <w:rPr>
                <w:rFonts w:hint="eastAsia"/>
              </w:rPr>
              <w:t>关于建立视力信息化防控平台的</w:t>
            </w:r>
            <w:r>
              <w:rPr>
                <w:rFonts w:hint="eastAsia"/>
                <w:lang w:eastAsia="zh-CN"/>
              </w:rPr>
              <w:t>建议</w:t>
            </w:r>
          </w:p>
        </w:tc>
      </w:tr>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default" w:ascii="宋体" w:hAnsi="宋体"/>
                <w:kern w:val="0"/>
                <w:sz w:val="24"/>
                <w:lang w:val="en-US" w:eastAsia="zh-CN"/>
              </w:rPr>
            </w:pPr>
            <w:r>
              <w:rPr>
                <w:rStyle w:val="13"/>
                <w:rFonts w:hint="eastAsia" w:ascii="宋体" w:hAnsi="宋体"/>
                <w:kern w:val="0"/>
                <w:sz w:val="24"/>
                <w:lang w:eastAsia="zh-CN"/>
              </w:rPr>
              <w:t>主办：</w:t>
            </w:r>
            <w:r>
              <w:rPr>
                <w:rStyle w:val="13"/>
                <w:rFonts w:hint="eastAsia" w:ascii="宋体" w:hAnsi="宋体"/>
                <w:kern w:val="0"/>
                <w:sz w:val="24"/>
                <w:lang w:val="en-US" w:eastAsia="zh-CN"/>
              </w:rPr>
              <w:t>州教育局  会办：州委宣传部、州卫健局</w:t>
            </w:r>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案</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4"/>
              <w:ind w:left="0" w:leftChars="0" w:firstLine="0" w:firstLineChars="0"/>
              <w:rPr>
                <w:rFonts w:hint="eastAsia" w:eastAsia="宋体"/>
                <w:lang w:eastAsia="zh-CN"/>
              </w:rPr>
            </w:pPr>
            <w:r>
              <w:rPr>
                <w:rFonts w:hint="eastAsia" w:eastAsia="宋体"/>
                <w:lang w:eastAsia="zh-CN"/>
              </w:rPr>
              <w:t>张晓慧</w:t>
            </w:r>
          </w:p>
        </w:tc>
        <w:tc>
          <w:tcPr>
            <w:tcW w:w="3872" w:type="dxa"/>
            <w:vAlign w:val="center"/>
          </w:tcPr>
          <w:p>
            <w:pPr>
              <w:jc w:val="left"/>
              <w:rPr>
                <w:rStyle w:val="13"/>
                <w:rFonts w:hint="eastAsia" w:ascii="宋体" w:hAnsi="宋体" w:eastAsia="宋体"/>
                <w:kern w:val="0"/>
                <w:sz w:val="24"/>
                <w:lang w:val="en-US" w:eastAsia="zh-CN"/>
              </w:rPr>
            </w:pPr>
            <w:r>
              <w:rPr>
                <w:rFonts w:hint="eastAsia"/>
              </w:rPr>
              <w:t>贵州苗疆蜂业科技发展有限公司</w:t>
            </w:r>
          </w:p>
        </w:tc>
        <w:tc>
          <w:tcPr>
            <w:tcW w:w="1440" w:type="dxa"/>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val="en-US" w:eastAsia="zh-CN"/>
              </w:rPr>
              <w:t>556000</w:t>
            </w:r>
          </w:p>
        </w:tc>
        <w:tc>
          <w:tcPr>
            <w:tcW w:w="1485" w:type="dxa"/>
            <w:vAlign w:val="center"/>
          </w:tcPr>
          <w:p>
            <w:pPr>
              <w:jc w:val="left"/>
              <w:rPr>
                <w:rFonts w:hint="default"/>
                <w:lang w:val="en-US" w:eastAsia="zh-CN"/>
              </w:rPr>
            </w:pPr>
            <w:r>
              <w:rPr>
                <w:rFonts w:hint="eastAsia"/>
              </w:rPr>
              <w:t>13595010998</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baseline"/>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近年来，儿童、青少年近视呈现高发，随着手机、电脑等电子产品的普及，近视低龄化、重度化的趋势越来越明显，严重影响孩子们的身心健康，成为了困扰儿童青少年、家庭、学校、社会的重大公共卫生问题。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黑体" w:hAnsi="黑体" w:eastAsia="黑体" w:cs="黑体"/>
          <w:kern w:val="0"/>
          <w:sz w:val="32"/>
          <w:szCs w:val="32"/>
          <w:lang w:val="en-US" w:eastAsia="zh-CN"/>
        </w:rPr>
      </w:pPr>
      <w:r>
        <w:rPr>
          <w:rStyle w:val="13"/>
          <w:rFonts w:hint="eastAsia" w:ascii="黑体" w:hAnsi="黑体" w:eastAsia="黑体" w:cs="黑体"/>
          <w:kern w:val="0"/>
          <w:sz w:val="32"/>
          <w:szCs w:val="32"/>
          <w:lang w:val="en-US" w:eastAsia="zh-CN"/>
        </w:rPr>
        <w:t>一、存在问题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黔东南州近视低龄化明显，儿童青少年的近视率居高不下，近视防控不容乐观。因此，加快我州儿童青少年近视防控工作已迫在眉睫。</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黑体" w:hAnsi="黑体" w:eastAsia="黑体" w:cs="黑体"/>
          <w:kern w:val="0"/>
          <w:sz w:val="32"/>
          <w:szCs w:val="32"/>
          <w:lang w:val="en-US" w:eastAsia="zh-CN"/>
        </w:rPr>
      </w:pPr>
      <w:r>
        <w:rPr>
          <w:rStyle w:val="13"/>
          <w:rFonts w:hint="eastAsia" w:ascii="黑体" w:hAnsi="黑体" w:eastAsia="黑体" w:cs="黑体"/>
          <w:kern w:val="0"/>
          <w:sz w:val="32"/>
          <w:szCs w:val="32"/>
          <w:lang w:val="en-US" w:eastAsia="zh-CN"/>
        </w:rPr>
        <w:t>二、原因分析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13"/>
          <w:rFonts w:hint="eastAsia" w:ascii="仿宋" w:hAnsi="仿宋" w:eastAsia="仿宋" w:cs="仿宋"/>
          <w:kern w:val="0"/>
          <w:sz w:val="32"/>
          <w:szCs w:val="32"/>
          <w:lang w:val="en-US" w:eastAsia="zh-CN"/>
        </w:rPr>
      </w:pPr>
      <w:r>
        <w:rPr>
          <w:rStyle w:val="13"/>
          <w:rFonts w:hint="eastAsia" w:ascii="仿宋" w:hAnsi="仿宋" w:eastAsia="仿宋" w:cs="仿宋"/>
          <w:b/>
          <w:bCs/>
          <w:kern w:val="0"/>
          <w:sz w:val="32"/>
          <w:szCs w:val="32"/>
          <w:lang w:val="en-US" w:eastAsia="zh-CN"/>
        </w:rPr>
        <w:t>一是</w:t>
      </w:r>
      <w:r>
        <w:rPr>
          <w:rStyle w:val="13"/>
          <w:rFonts w:hint="eastAsia" w:ascii="仿宋" w:hAnsi="仿宋" w:eastAsia="仿宋" w:cs="仿宋"/>
          <w:kern w:val="0"/>
          <w:sz w:val="32"/>
          <w:szCs w:val="32"/>
          <w:lang w:val="en-US" w:eastAsia="zh-CN"/>
        </w:rPr>
        <w:t>课业负担重，体育锻炼少；</w:t>
      </w:r>
      <w:r>
        <w:rPr>
          <w:rStyle w:val="13"/>
          <w:rFonts w:hint="eastAsia" w:ascii="仿宋" w:hAnsi="仿宋" w:eastAsia="仿宋" w:cs="仿宋"/>
          <w:b/>
          <w:bCs/>
          <w:kern w:val="0"/>
          <w:sz w:val="32"/>
          <w:szCs w:val="32"/>
          <w:lang w:val="en-US" w:eastAsia="zh-CN"/>
        </w:rPr>
        <w:t>二是</w:t>
      </w:r>
      <w:r>
        <w:rPr>
          <w:rStyle w:val="13"/>
          <w:rFonts w:hint="eastAsia" w:ascii="仿宋" w:hAnsi="仿宋" w:eastAsia="仿宋" w:cs="仿宋"/>
          <w:kern w:val="0"/>
          <w:sz w:val="32"/>
          <w:szCs w:val="32"/>
          <w:lang w:val="en-US" w:eastAsia="zh-CN"/>
        </w:rPr>
        <w:t>视力筛查效率低、流程不规范、数据不准确且无法追溯；</w:t>
      </w:r>
      <w:r>
        <w:rPr>
          <w:rStyle w:val="13"/>
          <w:rFonts w:hint="eastAsia" w:ascii="仿宋" w:hAnsi="仿宋" w:eastAsia="仿宋" w:cs="仿宋"/>
          <w:b/>
          <w:bCs/>
          <w:kern w:val="0"/>
          <w:sz w:val="32"/>
          <w:szCs w:val="32"/>
          <w:lang w:val="en-US" w:eastAsia="zh-CN"/>
        </w:rPr>
        <w:t>三是</w:t>
      </w:r>
      <w:r>
        <w:rPr>
          <w:rStyle w:val="13"/>
          <w:rFonts w:hint="eastAsia" w:ascii="仿宋" w:hAnsi="仿宋" w:eastAsia="仿宋" w:cs="仿宋"/>
          <w:kern w:val="0"/>
          <w:sz w:val="32"/>
          <w:szCs w:val="32"/>
          <w:lang w:val="en-US" w:eastAsia="zh-CN"/>
        </w:rPr>
        <w:t>基层医疗资源不足，技术落后，近视防控与健康供给存在短板，出现供需矛盾；</w:t>
      </w:r>
      <w:r>
        <w:rPr>
          <w:rStyle w:val="13"/>
          <w:rFonts w:hint="eastAsia" w:ascii="仿宋" w:hAnsi="仿宋" w:eastAsia="仿宋" w:cs="仿宋"/>
          <w:b/>
          <w:bCs/>
          <w:kern w:val="0"/>
          <w:sz w:val="32"/>
          <w:szCs w:val="32"/>
          <w:lang w:val="en-US" w:eastAsia="zh-CN"/>
        </w:rPr>
        <w:t>四是</w:t>
      </w:r>
      <w:r>
        <w:rPr>
          <w:rStyle w:val="13"/>
          <w:rFonts w:hint="eastAsia" w:ascii="仿宋" w:hAnsi="仿宋" w:eastAsia="仿宋" w:cs="仿宋"/>
          <w:kern w:val="0"/>
          <w:sz w:val="32"/>
          <w:szCs w:val="32"/>
          <w:lang w:val="en-US" w:eastAsia="zh-CN"/>
        </w:rPr>
        <w:t>家长监督缺位；</w:t>
      </w:r>
      <w:r>
        <w:rPr>
          <w:rStyle w:val="13"/>
          <w:rFonts w:hint="eastAsia" w:ascii="仿宋" w:hAnsi="仿宋" w:eastAsia="仿宋" w:cs="仿宋"/>
          <w:b/>
          <w:bCs/>
          <w:kern w:val="0"/>
          <w:sz w:val="32"/>
          <w:szCs w:val="32"/>
          <w:lang w:val="en-US" w:eastAsia="zh-CN"/>
        </w:rPr>
        <w:t>五是</w:t>
      </w:r>
      <w:r>
        <w:rPr>
          <w:rStyle w:val="13"/>
          <w:rFonts w:hint="eastAsia" w:ascii="仿宋" w:hAnsi="仿宋" w:eastAsia="仿宋" w:cs="仿宋"/>
          <w:kern w:val="0"/>
          <w:sz w:val="32"/>
          <w:szCs w:val="32"/>
          <w:lang w:val="en-US" w:eastAsia="zh-CN"/>
        </w:rPr>
        <w:t>家庭、学校、医疗机构之间缺乏及时有效的联动机制。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目前我州仍对青少年儿童近视防控工作的责任部门和具体防控方案仍缺失，近视防控工作效果不明显。防治工作的专业指导和咨询不到位，近视防控研究滞后，没有较为完善有效的干预机制。而且，社会对近视预防观念薄弱，儿童青少年视力保健知识匮乏，缺少视力保健的意识，对眼保健操和体育锻炼等有效的近视预防措施不够重视，学校和家长也没有真正起到督导作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我州黄平县率先在全州探索构建学生视力智能防控体系和智能防控平台，精密智控全县近六万学生每一双宝贵的眼睛，给学生筑一道爱眼护眼的防线，也取得了一定的成果和经验，值得各市县学习和推广。</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建议：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仿宋" w:hAnsi="仿宋" w:eastAsia="仿宋" w:cs="仿宋"/>
          <w:kern w:val="0"/>
          <w:sz w:val="32"/>
          <w:szCs w:val="32"/>
          <w:lang w:val="en-US" w:eastAsia="zh-CN"/>
        </w:rPr>
      </w:pPr>
      <w:r>
        <w:rPr>
          <w:rStyle w:val="13"/>
          <w:rFonts w:hint="eastAsia" w:ascii="黑体" w:hAnsi="黑体" w:eastAsia="黑体" w:cs="黑体"/>
          <w:kern w:val="0"/>
          <w:sz w:val="32"/>
          <w:szCs w:val="32"/>
          <w:lang w:val="en-US" w:eastAsia="zh-CN"/>
        </w:rPr>
        <w:t>统筹协调，大力推进青少年视力健康保护工作。</w:t>
      </w:r>
      <w:r>
        <w:rPr>
          <w:rStyle w:val="13"/>
          <w:rFonts w:hint="eastAsia" w:ascii="仿宋" w:hAnsi="仿宋" w:eastAsia="仿宋" w:cs="仿宋"/>
          <w:b/>
          <w:bCs/>
          <w:kern w:val="0"/>
          <w:sz w:val="32"/>
          <w:szCs w:val="32"/>
          <w:lang w:val="en-US" w:eastAsia="zh-CN"/>
        </w:rPr>
        <w:t>一是</w:t>
      </w:r>
      <w:r>
        <w:rPr>
          <w:rStyle w:val="13"/>
          <w:rFonts w:hint="eastAsia" w:ascii="仿宋" w:hAnsi="仿宋" w:eastAsia="仿宋" w:cs="仿宋"/>
          <w:kern w:val="0"/>
          <w:sz w:val="32"/>
          <w:szCs w:val="32"/>
          <w:lang w:val="en-US" w:eastAsia="zh-CN"/>
        </w:rPr>
        <w:t>由政府相关部门统一牵头，设立儿童青少年视力防控中心，统筹协调，加强学生、幼儿视力保护工作的指导，并将视力预防保健相关工作经费纳入各地方财政预算。根据国。家卫生和计划生育委员会《儿童眼及视力保健技术规范》，教育部《中小学学生近视眼防控工作方案》及《中小学学生近视眼防控工作岗位职责》、《中小学学生预防近视眼基本知识与要求》等，尽快制定青少年视力低下综合防治实施方案，探索建立青少年视力干预机制，建立科学预警、分类干预的综合干预体系和防治机制。</w:t>
      </w:r>
      <w:r>
        <w:rPr>
          <w:rStyle w:val="13"/>
          <w:rFonts w:hint="eastAsia" w:ascii="仿宋" w:hAnsi="仿宋" w:eastAsia="仿宋" w:cs="仿宋"/>
          <w:b/>
          <w:bCs/>
          <w:kern w:val="0"/>
          <w:sz w:val="32"/>
          <w:szCs w:val="32"/>
          <w:lang w:val="en-US" w:eastAsia="zh-CN"/>
        </w:rPr>
        <w:t>二是</w:t>
      </w:r>
      <w:r>
        <w:rPr>
          <w:rStyle w:val="13"/>
          <w:rFonts w:hint="eastAsia" w:ascii="仿宋" w:hAnsi="仿宋" w:eastAsia="仿宋" w:cs="仿宋"/>
          <w:kern w:val="0"/>
          <w:sz w:val="32"/>
          <w:szCs w:val="32"/>
          <w:lang w:val="en-US" w:eastAsia="zh-CN"/>
        </w:rPr>
        <w:t>建立科学有效的监督评估机制，教育、卫生部门应联合定期对学校近视防控工作执行情况进行专项督促检查，将学生近视发病率纳入学校素质教育的综合考核指标。尽早启动3—6岁儿童视力保护工作，对入园儿童进行免费视力筛查和用眼指导，及时制定幼儿视力保护的相关办法。</w:t>
      </w:r>
      <w:r>
        <w:rPr>
          <w:rStyle w:val="13"/>
          <w:rFonts w:hint="eastAsia" w:ascii="仿宋" w:hAnsi="仿宋" w:eastAsia="仿宋" w:cs="仿宋"/>
          <w:b/>
          <w:bCs/>
          <w:kern w:val="0"/>
          <w:sz w:val="32"/>
          <w:szCs w:val="32"/>
          <w:lang w:val="en-US" w:eastAsia="zh-CN"/>
        </w:rPr>
        <w:t>三是</w:t>
      </w:r>
      <w:r>
        <w:rPr>
          <w:rStyle w:val="13"/>
          <w:rFonts w:hint="eastAsia" w:ascii="仿宋" w:hAnsi="仿宋" w:eastAsia="仿宋" w:cs="仿宋"/>
          <w:kern w:val="0"/>
          <w:sz w:val="32"/>
          <w:szCs w:val="32"/>
          <w:lang w:val="en-US" w:eastAsia="zh-CN"/>
        </w:rPr>
        <w:t xml:space="preserve">成立儿童、青少年视力防控中心，建立视力防控平台作为支撑点，为儿童、青少年提供用眼指导、视光档案建立、视力跟踪监测、视力康复矫治等视力预防保健的专业技术服务。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13"/>
          <w:rFonts w:hint="eastAsia" w:ascii="仿宋" w:hAnsi="仿宋" w:eastAsia="仿宋" w:cs="仿宋"/>
          <w:kern w:val="0"/>
          <w:sz w:val="32"/>
          <w:szCs w:val="32"/>
          <w:lang w:val="en-US" w:eastAsia="zh-CN"/>
        </w:rPr>
      </w:pPr>
      <w:r>
        <w:rPr>
          <w:rStyle w:val="13"/>
          <w:rFonts w:hint="eastAsia" w:ascii="黑体" w:hAnsi="黑体" w:eastAsia="黑体" w:cs="黑体"/>
          <w:kern w:val="0"/>
          <w:sz w:val="32"/>
          <w:szCs w:val="32"/>
          <w:lang w:val="en-US" w:eastAsia="zh-CN"/>
        </w:rPr>
        <w:t>加大宣传和教育，构建健康用眼环境。</w:t>
      </w:r>
      <w:r>
        <w:rPr>
          <w:rStyle w:val="13"/>
          <w:rFonts w:hint="eastAsia" w:ascii="仿宋" w:hAnsi="仿宋" w:eastAsia="仿宋" w:cs="仿宋"/>
          <w:b/>
          <w:bCs/>
          <w:kern w:val="0"/>
          <w:sz w:val="32"/>
          <w:szCs w:val="32"/>
          <w:lang w:val="en-US" w:eastAsia="zh-CN"/>
        </w:rPr>
        <w:t>一是</w:t>
      </w:r>
      <w:r>
        <w:rPr>
          <w:rStyle w:val="13"/>
          <w:rFonts w:hint="eastAsia" w:ascii="仿宋" w:hAnsi="仿宋" w:eastAsia="仿宋" w:cs="仿宋"/>
          <w:kern w:val="0"/>
          <w:sz w:val="32"/>
          <w:szCs w:val="32"/>
          <w:lang w:val="en-US" w:eastAsia="zh-CN"/>
        </w:rPr>
        <w:t>加大宣传力度，增强全社会爱眼护眼的紧迫感。普及用眼卫生和视力保健的知识和技能，加强家长、学校和学生对儿童、青少年视力保护工作的重视。如在电视、广播、报刊等平台开辟儿童青少年视力保健专栏；开展眼睛保健讲座，教育儿童、青少年如何爱护眼睛、预防近视、弱视及其他眼疾的知识，教导家长如何正确对待孩子的视力问题；结合“世界爱眼日”等节日开展专题活动，传播科学的爱眼护眼知识，营造全社会重视儿童青少年视力健康的良好氛围。</w:t>
      </w:r>
      <w:r>
        <w:rPr>
          <w:rStyle w:val="13"/>
          <w:rFonts w:hint="eastAsia" w:ascii="仿宋" w:hAnsi="仿宋" w:eastAsia="仿宋" w:cs="仿宋"/>
          <w:b/>
          <w:bCs/>
          <w:kern w:val="0"/>
          <w:sz w:val="32"/>
          <w:szCs w:val="32"/>
          <w:lang w:val="en-US" w:eastAsia="zh-CN"/>
        </w:rPr>
        <w:t>二是</w:t>
      </w:r>
      <w:r>
        <w:rPr>
          <w:rStyle w:val="13"/>
          <w:rFonts w:hint="eastAsia" w:ascii="仿宋" w:hAnsi="仿宋" w:eastAsia="仿宋" w:cs="仿宋"/>
          <w:kern w:val="0"/>
          <w:sz w:val="32"/>
          <w:szCs w:val="32"/>
          <w:lang w:val="en-US" w:eastAsia="zh-CN"/>
        </w:rPr>
        <w:t>家校联动，加强预防。孩子的视力事关孩子的一生，家长要引起足够重视，及早发现视力异常，及早预防和保健。切莫依赖开刀、戴隐形眼镜等消极办法而放弃对孩子眼睛、视力健康的保护，身体力行，以科学的用眼习惯影响教育孩子。积极配合学校，形成合力，严格控制儿童、青少年儿童在家作业和使用电脑、手机等电子产品的时间，特别是减少3-6岁儿童的用眼时间；引导、督促学生养成良好的看书写字姿势；保证学生每天足够的体育锻炼时间和睡眠时间，促进学生营养改善，达到控制和降低近视不良发生率的目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13"/>
          <w:rFonts w:hint="eastAsia" w:ascii="黑体" w:hAnsi="黑体" w:eastAsia="黑体" w:cs="黑体"/>
          <w:b/>
          <w:bCs/>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textAlignment w:val="baseline"/>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10B40BCC"/>
    <w:rsid w:val="118823F2"/>
    <w:rsid w:val="13C57EA3"/>
    <w:rsid w:val="16F969DB"/>
    <w:rsid w:val="18EC1E64"/>
    <w:rsid w:val="1B913D76"/>
    <w:rsid w:val="1BAB45FA"/>
    <w:rsid w:val="1D124BB8"/>
    <w:rsid w:val="20E366FE"/>
    <w:rsid w:val="21EA0B57"/>
    <w:rsid w:val="23370767"/>
    <w:rsid w:val="24BD47D4"/>
    <w:rsid w:val="254B7D55"/>
    <w:rsid w:val="255A2EE5"/>
    <w:rsid w:val="280B3E99"/>
    <w:rsid w:val="29BB0497"/>
    <w:rsid w:val="29EB237C"/>
    <w:rsid w:val="2BDD0731"/>
    <w:rsid w:val="2FD84B80"/>
    <w:rsid w:val="30B878C9"/>
    <w:rsid w:val="317F3112"/>
    <w:rsid w:val="32794BB9"/>
    <w:rsid w:val="33552650"/>
    <w:rsid w:val="35A1653F"/>
    <w:rsid w:val="377737A4"/>
    <w:rsid w:val="38D60616"/>
    <w:rsid w:val="3A7B4D73"/>
    <w:rsid w:val="3D865DCA"/>
    <w:rsid w:val="3F1A5C90"/>
    <w:rsid w:val="42F10C9F"/>
    <w:rsid w:val="443741D2"/>
    <w:rsid w:val="493508EE"/>
    <w:rsid w:val="497C7186"/>
    <w:rsid w:val="4A196944"/>
    <w:rsid w:val="4A6A10A6"/>
    <w:rsid w:val="4F1E6C2C"/>
    <w:rsid w:val="4F6B5D70"/>
    <w:rsid w:val="4FD75182"/>
    <w:rsid w:val="507F065A"/>
    <w:rsid w:val="5236789E"/>
    <w:rsid w:val="559F1A55"/>
    <w:rsid w:val="57B323AE"/>
    <w:rsid w:val="5A7C34BF"/>
    <w:rsid w:val="5AA17385"/>
    <w:rsid w:val="5B7C24C8"/>
    <w:rsid w:val="5C6B77F5"/>
    <w:rsid w:val="61895CCF"/>
    <w:rsid w:val="66F35DD9"/>
    <w:rsid w:val="67615A51"/>
    <w:rsid w:val="6854075C"/>
    <w:rsid w:val="69A37ABB"/>
    <w:rsid w:val="6A644AE2"/>
    <w:rsid w:val="6F5974BD"/>
    <w:rsid w:val="70307264"/>
    <w:rsid w:val="71230126"/>
    <w:rsid w:val="72DF1356"/>
    <w:rsid w:val="737B52FA"/>
    <w:rsid w:val="73AF7E1A"/>
    <w:rsid w:val="743C31A8"/>
    <w:rsid w:val="74620891"/>
    <w:rsid w:val="75FC7C1A"/>
    <w:rsid w:val="778C0E73"/>
    <w:rsid w:val="78491FD0"/>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able of authorities"/>
    <w:basedOn w:val="1"/>
    <w:next w:val="1"/>
    <w:qFormat/>
    <w:uiPriority w:val="0"/>
    <w:pPr>
      <w:ind w:left="420" w:leftChars="200"/>
    </w:pPr>
    <w:rPr>
      <w:szCs w:val="20"/>
    </w:rPr>
  </w:style>
  <w:style w:type="paragraph" w:styleId="5">
    <w:name w:val="footer"/>
    <w:basedOn w:val="1"/>
    <w:link w:val="25"/>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semiHidden/>
    <w:qFormat/>
    <w:uiPriority w:val="0"/>
  </w:style>
  <w:style w:type="paragraph" w:customStyle="1" w:styleId="14">
    <w:name w:val="NormalIndent"/>
    <w:basedOn w:val="1"/>
    <w:qFormat/>
    <w:uiPriority w:val="0"/>
    <w:pPr>
      <w:ind w:firstLine="420" w:firstLineChars="200"/>
      <w:jc w:val="both"/>
      <w:textAlignment w:val="baseline"/>
    </w:pPr>
    <w:rPr>
      <w:rFonts w:ascii="Times New Roman" w:hAnsi="Times New Roman"/>
      <w:kern w:val="2"/>
      <w:sz w:val="21"/>
      <w:szCs w:val="21"/>
      <w:lang w:val="en-US" w:eastAsia="zh-CN" w:bidi="ar-SA"/>
    </w:rPr>
  </w:style>
  <w:style w:type="paragraph" w:customStyle="1" w:styleId="15">
    <w:name w:val="正文-公1"/>
    <w:basedOn w:val="1"/>
    <w:qFormat/>
    <w:uiPriority w:val="99"/>
    <w:pPr>
      <w:ind w:firstLine="200" w:firstLineChars="200"/>
    </w:pPr>
    <w:rPr>
      <w:rFonts w:ascii="Calibri" w:hAnsi="Calibri"/>
    </w:rPr>
  </w:style>
  <w:style w:type="paragraph" w:customStyle="1" w:styleId="16">
    <w:name w:val="Heading1"/>
    <w:basedOn w:val="1"/>
    <w:link w:val="22"/>
    <w:qFormat/>
    <w:uiPriority w:val="0"/>
    <w:pPr>
      <w:spacing w:before="100" w:beforeAutospacing="1" w:after="100" w:afterAutospacing="1"/>
      <w:jc w:val="left"/>
    </w:pPr>
    <w:rPr>
      <w:rFonts w:ascii="宋体" w:hAnsi="宋体" w:cs="宋体"/>
      <w:b/>
      <w:bCs/>
      <w:kern w:val="36"/>
      <w:sz w:val="48"/>
      <w:szCs w:val="48"/>
    </w:rPr>
  </w:style>
  <w:style w:type="table" w:customStyle="1" w:styleId="17">
    <w:name w:val="TableNormal"/>
    <w:semiHidden/>
    <w:qFormat/>
    <w:uiPriority w:val="0"/>
    <w:tblPr>
      <w:tblCellMar>
        <w:top w:w="0" w:type="dxa"/>
        <w:left w:w="0" w:type="dxa"/>
        <w:bottom w:w="0" w:type="dxa"/>
        <w:right w:w="0" w:type="dxa"/>
      </w:tblCellMar>
    </w:tblPr>
  </w:style>
  <w:style w:type="paragraph" w:customStyle="1" w:styleId="18">
    <w:name w:val="Acetate"/>
    <w:basedOn w:val="1"/>
    <w:qFormat/>
    <w:uiPriority w:val="0"/>
    <w:rPr>
      <w:sz w:val="18"/>
      <w:szCs w:val="18"/>
    </w:rPr>
  </w:style>
  <w:style w:type="paragraph" w:customStyle="1" w:styleId="19">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0">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1">
    <w:name w:val="UserStyle_2"/>
    <w:basedOn w:val="1"/>
    <w:qFormat/>
    <w:uiPriority w:val="0"/>
    <w:pPr>
      <w:spacing w:before="100" w:beforeAutospacing="1" w:after="100" w:afterAutospacing="1"/>
      <w:jc w:val="left"/>
    </w:pPr>
    <w:rPr>
      <w:rFonts w:ascii="宋体" w:hAnsi="宋体"/>
      <w:kern w:val="0"/>
      <w:sz w:val="24"/>
    </w:rPr>
  </w:style>
  <w:style w:type="character" w:customStyle="1" w:styleId="22">
    <w:name w:val="UserStyle_3"/>
    <w:basedOn w:val="13"/>
    <w:link w:val="16"/>
    <w:qFormat/>
    <w:uiPriority w:val="0"/>
    <w:rPr>
      <w:rFonts w:ascii="宋体" w:hAnsi="宋体" w:cs="宋体"/>
      <w:b/>
      <w:bCs/>
      <w:kern w:val="36"/>
      <w:sz w:val="48"/>
      <w:szCs w:val="48"/>
    </w:rPr>
  </w:style>
  <w:style w:type="character" w:customStyle="1" w:styleId="23">
    <w:name w:val="UserStyle_4"/>
    <w:basedOn w:val="13"/>
    <w:qFormat/>
    <w:uiPriority w:val="0"/>
  </w:style>
  <w:style w:type="paragraph" w:customStyle="1" w:styleId="24">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5">
    <w:name w:val="页脚 Char"/>
    <w:basedOn w:val="10"/>
    <w:link w:val="5"/>
    <w:qFormat/>
    <w:uiPriority w:val="99"/>
    <w:rPr>
      <w:rFonts w:cstheme="minorBidi"/>
      <w:kern w:val="2"/>
      <w:sz w:val="18"/>
      <w:szCs w:val="18"/>
    </w:rPr>
  </w:style>
  <w:style w:type="paragraph" w:customStyle="1" w:styleId="26">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7">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5</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يانغ يي</cp:lastModifiedBy>
  <cp:lastPrinted>2021-02-26T02:55:00Z</cp:lastPrinted>
  <dcterms:modified xsi:type="dcterms:W3CDTF">2022-01-06T07:49:04Z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166CC6321B7B4A9F8CCF3BE0FE8F29DC</vt:lpwstr>
  </property>
</Properties>
</file>