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186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关于加强控制口腔门诊交叉感染保护口腔疾病患者就医安全的建议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主办：州卫健局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刘元恩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凯里市康复路3号贵州医科大学第二附属医院口腔科（新大楼四层）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13885591977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eastAsia" w:ascii="黑体" w:hAnsi="黑体" w:eastAsia="黑体" w:cs="黑体"/>
          <w:kern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kern w:val="0"/>
          <w:sz w:val="32"/>
          <w:szCs w:val="32"/>
        </w:rPr>
        <w:t>一、口腔行业的现状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随着人民生活水平逐步改善，人们对医疗保健要求逐渐提高，对口腔健康意识不断增强，加之我国正进入老龄化，口腔疾病发病率高。在较大的口腔医疗市场驱动下，非公立口腔医疗机构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/>
        </w:rPr>
        <w:t>如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雨后春笋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蓬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勃发展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。目前黔东南州非公立口腔医疗机构共107家，但非公立口腔医疗机构管理水平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参差不齐，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院感防控意识缺乏，存在巨大安全隐患，易导致传染性疾病在口腔患者之间互相传播。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eastAsia" w:ascii="黑体" w:hAnsi="黑体" w:eastAsia="黑体" w:cs="黑体"/>
          <w:kern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kern w:val="0"/>
          <w:sz w:val="32"/>
          <w:szCs w:val="32"/>
        </w:rPr>
        <w:t>二、情况分析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口腔疾病治疗大多在口腔内进行，如龋洞预备、开髓、修复的牙体预备等。在治疗的过程中牙科器械与患者的口腔软硬组织、唾液、血液密切接触，如果被污染的器械未经过严格的消毒灭菌而应用于下一位患者，就会导致疾病的交叉感染。另外，这些治疗都需要使用高气压快速牙科手机，高气压经过患者口腔后，会产生混有唾液和血液的气溶胶，气溶胶悬浮于口腔诊室，也会产生交叉感染。所以口腔内的软硬组织、唾液、血液、气溶胶都能成为传播病原菌的载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经证实，能通过血液传播的疾病有肝炎、艾滋病、埃博拉出血热、疟疾等，能通过唾液传播的疾病有甲肝、乙肝、肺结核、梅毒等。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由此可见，口腔门诊（诊所）易发生疾病的交叉感染，应引起我们足够的重视。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建议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为了控制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口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腔门诊（诊所）交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叉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感染，保护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口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腔疾病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患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者</w:t>
      </w:r>
      <w:bookmarkStart w:id="0" w:name="_GoBack"/>
      <w:bookmarkEnd w:id="0"/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就医安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全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，特向相关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部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门建议：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default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1、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</w:rPr>
        <w:t>进一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步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加大对口腔门诊（诊所）交叉感染的常规督导检查力度，时时督查整改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</w:rPr>
        <w:t>，使其逐步提高服务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能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</w:rPr>
        <w:t>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2、督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促口腔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医疗机构增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加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/>
        </w:rPr>
        <w:t>配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置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进入口内操作器械的数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</w:rPr>
        <w:t>量，使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牙科高速手机、三件套（口镜、探针、镊子）与牙科综合治疗椅的比率都不小于5:1.以保证器械的消毒循环使用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，确保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做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到“一人一机一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消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毒或灭</w:t>
      </w:r>
      <w:r>
        <w:rPr>
          <w:rStyle w:val="11"/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菌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5F3915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1D124BB8"/>
    <w:rsid w:val="20E366FE"/>
    <w:rsid w:val="21EA0B57"/>
    <w:rsid w:val="23370767"/>
    <w:rsid w:val="280B3E99"/>
    <w:rsid w:val="29BB0497"/>
    <w:rsid w:val="29EB237C"/>
    <w:rsid w:val="2BDD0731"/>
    <w:rsid w:val="2FD84B80"/>
    <w:rsid w:val="30B878C9"/>
    <w:rsid w:val="32794BB9"/>
    <w:rsid w:val="33552650"/>
    <w:rsid w:val="35A1653F"/>
    <w:rsid w:val="377737A4"/>
    <w:rsid w:val="38D60616"/>
    <w:rsid w:val="3A7B4D73"/>
    <w:rsid w:val="3F1A5C90"/>
    <w:rsid w:val="42F10C9F"/>
    <w:rsid w:val="493508EE"/>
    <w:rsid w:val="497C7186"/>
    <w:rsid w:val="4A196944"/>
    <w:rsid w:val="4A6A10A6"/>
    <w:rsid w:val="4F1E6C2C"/>
    <w:rsid w:val="4F6B5D70"/>
    <w:rsid w:val="4FD75182"/>
    <w:rsid w:val="507F065A"/>
    <w:rsid w:val="51600D09"/>
    <w:rsid w:val="5236789E"/>
    <w:rsid w:val="559F1A55"/>
    <w:rsid w:val="5A7C34BF"/>
    <w:rsid w:val="5AA17385"/>
    <w:rsid w:val="5B7C24C8"/>
    <w:rsid w:val="5C0C5CC5"/>
    <w:rsid w:val="5C6B77F5"/>
    <w:rsid w:val="61895CCF"/>
    <w:rsid w:val="66F35DD9"/>
    <w:rsid w:val="67615A51"/>
    <w:rsid w:val="6854075C"/>
    <w:rsid w:val="69A37ABB"/>
    <w:rsid w:val="6A644AE2"/>
    <w:rsid w:val="6F5974BD"/>
    <w:rsid w:val="72DF1356"/>
    <w:rsid w:val="743C31A8"/>
    <w:rsid w:val="74620891"/>
    <w:rsid w:val="75FC7C1A"/>
    <w:rsid w:val="778C0E73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4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يانغ يي</cp:lastModifiedBy>
  <cp:lastPrinted>2021-02-26T02:55:00Z</cp:lastPrinted>
  <dcterms:modified xsi:type="dcterms:W3CDTF">2022-01-06T08:42:52Z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0A3E0A34077841B6BFFA84270E8F88A1</vt:lpwstr>
  </property>
</Properties>
</file>