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beforeAutospacing="0" w:after="0" w:afterAutospacing="0" w:line="600" w:lineRule="exact"/>
        <w:jc w:val="center"/>
        <w:rPr>
          <w:rStyle w:val="18"/>
          <w:rFonts w:ascii="黑体" w:eastAsia="黑体"/>
          <w:sz w:val="44"/>
          <w:szCs w:val="44"/>
        </w:rPr>
      </w:pPr>
      <w:r>
        <w:rPr>
          <w:rStyle w:val="16"/>
          <w:rFonts w:ascii="黑体" w:eastAsia="黑体" w:cs="宋体"/>
          <w:sz w:val="44"/>
          <w:szCs w:val="44"/>
        </w:rPr>
        <w:t>中国人民政治协商会议</w:t>
      </w:r>
    </w:p>
    <w:p>
      <w:pPr>
        <w:pStyle w:val="22"/>
        <w:spacing w:before="0" w:beforeAutospacing="0" w:after="0" w:afterAutospacing="0" w:line="600" w:lineRule="exact"/>
        <w:jc w:val="center"/>
        <w:rPr>
          <w:rStyle w:val="18"/>
          <w:rFonts w:hint="eastAsia"/>
          <w:sz w:val="44"/>
          <w:szCs w:val="44"/>
        </w:rPr>
      </w:pPr>
      <w:r>
        <w:rPr>
          <w:rStyle w:val="18"/>
          <w:sz w:val="44"/>
          <w:szCs w:val="44"/>
        </w:rPr>
        <w:t>黔东南苗族侗族自治州委员会</w:t>
      </w:r>
    </w:p>
    <w:p>
      <w:pPr>
        <w:pStyle w:val="22"/>
        <w:spacing w:before="0" w:beforeAutospacing="0" w:after="0" w:afterAutospacing="0" w:line="600" w:lineRule="exact"/>
        <w:jc w:val="center"/>
        <w:rPr>
          <w:rStyle w:val="18"/>
          <w:rFonts w:hint="eastAsia"/>
          <w:sz w:val="44"/>
          <w:szCs w:val="44"/>
        </w:rPr>
      </w:pPr>
      <w:r>
        <w:rPr>
          <w:rStyle w:val="18"/>
          <w:sz w:val="44"/>
          <w:szCs w:val="44"/>
        </w:rPr>
        <w:t>提</w:t>
      </w:r>
      <w:r>
        <w:rPr>
          <w:rStyle w:val="18"/>
          <w:rFonts w:hint="eastAsia"/>
          <w:sz w:val="44"/>
          <w:szCs w:val="44"/>
        </w:rPr>
        <w:t xml:space="preserve">   </w:t>
      </w:r>
      <w:r>
        <w:rPr>
          <w:rStyle w:val="18"/>
          <w:sz w:val="44"/>
          <w:szCs w:val="44"/>
        </w:rPr>
        <w:t>案</w:t>
      </w:r>
    </w:p>
    <w:p>
      <w:pPr>
        <w:spacing w:line="320" w:lineRule="exact"/>
        <w:jc w:val="center"/>
        <w:textAlignment w:val="top"/>
        <w:rPr>
          <w:rStyle w:val="18"/>
          <w:rFonts w:hint="eastAsia" w:ascii="宋体" w:hAnsi="宋体"/>
          <w:kern w:val="0"/>
          <w:sz w:val="24"/>
        </w:rPr>
      </w:pPr>
    </w:p>
    <w:p>
      <w:pPr>
        <w:spacing w:line="320" w:lineRule="exact"/>
        <w:jc w:val="center"/>
        <w:textAlignment w:val="top"/>
        <w:rPr>
          <w:rStyle w:val="18"/>
          <w:rFonts w:hint="eastAsia" w:ascii="宋体" w:hAnsi="宋体"/>
          <w:kern w:val="0"/>
          <w:sz w:val="24"/>
        </w:rPr>
      </w:pPr>
    </w:p>
    <w:p>
      <w:pPr>
        <w:spacing w:line="760" w:lineRule="exact"/>
        <w:jc w:val="both"/>
        <w:textAlignment w:val="top"/>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8"/>
          <w:rFonts w:hint="default" w:ascii="宋体" w:hAnsi="宋体" w:eastAsia="宋体"/>
          <w:kern w:val="0"/>
          <w:sz w:val="24"/>
          <w:lang w:val="en-US" w:eastAsia="zh-CN"/>
        </w:rPr>
      </w:pPr>
      <w:r>
        <w:rPr>
          <w:rStyle w:val="18"/>
          <w:rFonts w:ascii="宋体" w:hAnsi="宋体"/>
          <w:kern w:val="0"/>
          <w:sz w:val="24"/>
        </w:rPr>
        <w:t>第十</w:t>
      </w:r>
      <w:r>
        <w:rPr>
          <w:rStyle w:val="18"/>
          <w:rFonts w:hint="eastAsia" w:ascii="宋体" w:hAnsi="宋体"/>
          <w:kern w:val="0"/>
          <w:sz w:val="24"/>
          <w:lang w:val="en-US" w:eastAsia="zh-CN"/>
        </w:rPr>
        <w:t>三</w:t>
      </w:r>
      <w:r>
        <w:rPr>
          <w:rStyle w:val="18"/>
          <w:rFonts w:ascii="宋体" w:hAnsi="宋体"/>
          <w:kern w:val="0"/>
          <w:sz w:val="24"/>
        </w:rPr>
        <w:t>届第</w:t>
      </w:r>
      <w:r>
        <w:rPr>
          <w:rStyle w:val="18"/>
          <w:rFonts w:hint="eastAsia" w:ascii="宋体" w:hAnsi="宋体"/>
          <w:kern w:val="0"/>
          <w:sz w:val="24"/>
          <w:lang w:val="en-US" w:eastAsia="zh-CN"/>
        </w:rPr>
        <w:t>一</w:t>
      </w:r>
      <w:r>
        <w:rPr>
          <w:rStyle w:val="18"/>
          <w:rFonts w:ascii="宋体" w:hAnsi="宋体"/>
          <w:kern w:val="0"/>
          <w:sz w:val="24"/>
        </w:rPr>
        <w:t>次会议　       　第</w:t>
      </w:r>
      <w:r>
        <w:rPr>
          <w:rStyle w:val="18"/>
          <w:rFonts w:hint="eastAsia" w:ascii="宋体" w:hAnsi="宋体"/>
          <w:kern w:val="0"/>
          <w:sz w:val="24"/>
          <w:lang w:val="en-US"/>
        </w:rPr>
        <w:t>173</w:t>
      </w:r>
      <w:r>
        <w:rPr>
          <w:rStyle w:val="18"/>
          <w:rFonts w:ascii="宋体" w:hAnsi="宋体"/>
          <w:kern w:val="0"/>
          <w:sz w:val="24"/>
        </w:rPr>
        <w:t xml:space="preserve">号　    </w:t>
      </w:r>
      <w:r>
        <w:rPr>
          <w:rStyle w:val="18"/>
          <w:rFonts w:hint="eastAsia" w:ascii="宋体" w:hAnsi="宋体"/>
          <w:kern w:val="0"/>
          <w:sz w:val="24"/>
        </w:rPr>
        <w:t xml:space="preserve">    </w:t>
      </w:r>
      <w:r>
        <w:rPr>
          <w:rStyle w:val="18"/>
          <w:rFonts w:hint="eastAsia" w:ascii="宋体" w:hAnsi="宋体"/>
          <w:kern w:val="0"/>
          <w:sz w:val="24"/>
          <w:lang w:val="en-US" w:eastAsia="zh-CN"/>
        </w:rPr>
        <w:t xml:space="preserve"> 类别：文化建设类     </w:t>
      </w:r>
    </w:p>
    <w:p>
      <w:pPr>
        <w:spacing w:line="320" w:lineRule="exact"/>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4"/>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案</w:t>
            </w:r>
            <w:r>
              <w:rPr>
                <w:rStyle w:val="18"/>
                <w:rFonts w:ascii="宋体" w:hAnsi="宋体" w:eastAsia="黑体" w:cs="宋体"/>
                <w:b/>
                <w:bCs/>
                <w:kern w:val="0"/>
                <w:sz w:val="24"/>
              </w:rPr>
              <w:t>  </w:t>
            </w:r>
            <w:r>
              <w:rPr>
                <w:rStyle w:val="18"/>
                <w:rFonts w:ascii="黑体" w:hAnsi="宋体" w:eastAsia="黑体" w:cs="宋体"/>
                <w:b/>
                <w:bCs/>
                <w:kern w:val="0"/>
                <w:sz w:val="24"/>
              </w:rPr>
              <w:t>由</w:t>
            </w:r>
            <w:r>
              <w:rPr>
                <w:rStyle w:val="18"/>
                <w:rFonts w:ascii="宋体" w:hAnsi="宋体" w:cs="宋体"/>
                <w:b/>
                <w:bCs/>
                <w:kern w:val="0"/>
                <w:sz w:val="24"/>
              </w:rPr>
              <w:t>：</w:t>
            </w:r>
          </w:p>
        </w:tc>
        <w:tc>
          <w:tcPr>
            <w:tcW w:w="6797"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18"/>
                <w:rFonts w:ascii="宋体" w:hAnsi="宋体" w:cs="宋体"/>
                <w:b/>
                <w:bCs/>
                <w:kern w:val="0"/>
                <w:sz w:val="24"/>
              </w:rPr>
            </w:pPr>
            <w:r>
              <w:rPr>
                <w:rFonts w:hint="eastAsia" w:ascii="Times New Roman" w:hAnsi="Times New Roman" w:eastAsia="宋体" w:cs="Times New Roman"/>
                <w:b/>
                <w:bCs/>
                <w:kern w:val="0"/>
                <w:sz w:val="21"/>
                <w:szCs w:val="21"/>
                <w:lang w:val="en-US" w:eastAsia="zh-CN"/>
              </w:rPr>
              <w:t>关于加大我州红色文化的宣传力度并建立红色文化资源保护基金会的建议</w:t>
            </w:r>
          </w:p>
        </w:tc>
      </w:tr>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审查意见</w:t>
            </w:r>
            <w:r>
              <w:rPr>
                <w:rStyle w:val="18"/>
                <w:rFonts w:ascii="宋体" w:hAnsi="宋体" w:cs="宋体"/>
                <w:b/>
                <w:bCs/>
                <w:kern w:val="0"/>
                <w:sz w:val="24"/>
              </w:rPr>
              <w:t>：</w:t>
            </w:r>
          </w:p>
        </w:tc>
        <w:tc>
          <w:tcPr>
            <w:tcW w:w="6797" w:type="dxa"/>
            <w:gridSpan w:val="3"/>
            <w:vAlign w:val="center"/>
          </w:tcPr>
          <w:p>
            <w:pPr>
              <w:jc w:val="left"/>
              <w:rPr>
                <w:rStyle w:val="18"/>
                <w:rFonts w:hint="default" w:ascii="宋体" w:hAnsi="宋体"/>
                <w:kern w:val="0"/>
                <w:sz w:val="24"/>
                <w:lang w:val="en-US" w:eastAsia="zh-CN"/>
              </w:rPr>
            </w:pPr>
            <w:r>
              <w:rPr>
                <w:rStyle w:val="18"/>
                <w:rFonts w:hint="eastAsia" w:ascii="宋体" w:hAnsi="宋体"/>
                <w:kern w:val="0"/>
                <w:sz w:val="24"/>
                <w:szCs w:val="24"/>
                <w:lang w:eastAsia="zh-CN"/>
              </w:rPr>
              <w:t>主办：</w:t>
            </w:r>
            <w:r>
              <w:rPr>
                <w:rStyle w:val="18"/>
                <w:rFonts w:hint="eastAsia" w:ascii="宋体" w:hAnsi="宋体"/>
                <w:kern w:val="0"/>
                <w:sz w:val="24"/>
                <w:szCs w:val="24"/>
                <w:lang w:val="en-US" w:eastAsia="zh-CN"/>
              </w:rPr>
              <w:t>州</w:t>
            </w:r>
            <w:bookmarkStart w:id="0" w:name="_GoBack"/>
            <w:bookmarkEnd w:id="0"/>
            <w:r>
              <w:rPr>
                <w:rStyle w:val="18"/>
                <w:rFonts w:hint="eastAsia" w:ascii="宋体" w:hAnsi="宋体"/>
                <w:kern w:val="0"/>
                <w:sz w:val="24"/>
                <w:szCs w:val="24"/>
                <w:lang w:eastAsia="zh-CN"/>
              </w:rPr>
              <w:t>文广局</w:t>
            </w:r>
            <w:r>
              <w:rPr>
                <w:rStyle w:val="18"/>
                <w:rFonts w:hint="eastAsia" w:ascii="宋体" w:hAnsi="宋体"/>
                <w:kern w:val="0"/>
                <w:sz w:val="24"/>
                <w:szCs w:val="24"/>
                <w:lang w:val="en-US" w:eastAsia="zh-CN"/>
              </w:rPr>
              <w:t xml:space="preserve">   会办：州民政局</w:t>
            </w:r>
          </w:p>
        </w:tc>
      </w:tr>
      <w:tr>
        <w:tblPrEx>
          <w:tblCellMar>
            <w:top w:w="0" w:type="dxa"/>
            <w:left w:w="15" w:type="dxa"/>
            <w:bottom w:w="0" w:type="dxa"/>
            <w:right w:w="15" w:type="dxa"/>
          </w:tblCellMar>
        </w:tblPrEx>
        <w:tc>
          <w:tcPr>
            <w:tcW w:w="1753" w:type="dxa"/>
            <w:vAlign w:val="center"/>
          </w:tcPr>
          <w:p>
            <w:pPr>
              <w:jc w:val="left"/>
              <w:rPr>
                <w:rStyle w:val="18"/>
                <w:rFonts w:ascii="黑体" w:hAnsi="宋体" w:eastAsia="黑体"/>
                <w:kern w:val="0"/>
                <w:sz w:val="24"/>
              </w:rPr>
            </w:pPr>
            <w:r>
              <w:rPr>
                <w:rStyle w:val="18"/>
                <w:rFonts w:ascii="黑体" w:hAnsi="宋体" w:eastAsia="黑体" w:cs="宋体"/>
                <w:b/>
                <w:bCs/>
                <w:kern w:val="0"/>
                <w:sz w:val="24"/>
              </w:rPr>
              <w:t>提</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案</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人</w:t>
            </w:r>
            <w:r>
              <w:rPr>
                <w:rStyle w:val="18"/>
                <w:rFonts w:ascii="宋体" w:hAnsi="宋体" w:eastAsia="黑体" w:cs="宋体"/>
                <w:b/>
                <w:bCs/>
                <w:kern w:val="0"/>
                <w:sz w:val="24"/>
              </w:rPr>
              <w:t>：</w:t>
            </w:r>
          </w:p>
        </w:tc>
        <w:tc>
          <w:tcPr>
            <w:tcW w:w="3872" w:type="dxa"/>
            <w:vAlign w:val="center"/>
          </w:tcPr>
          <w:p>
            <w:pPr>
              <w:jc w:val="left"/>
              <w:rPr>
                <w:rStyle w:val="18"/>
                <w:rFonts w:ascii="宋体" w:hAnsi="宋体"/>
                <w:kern w:val="0"/>
                <w:sz w:val="24"/>
              </w:rPr>
            </w:pPr>
            <w:r>
              <w:rPr>
                <w:rStyle w:val="18"/>
                <w:rFonts w:ascii="宋体" w:hAnsi="宋体" w:cs="宋体"/>
                <w:b/>
                <w:bCs/>
                <w:kern w:val="0"/>
                <w:sz w:val="24"/>
              </w:rPr>
              <w:t>通讯地址</w:t>
            </w:r>
          </w:p>
        </w:tc>
        <w:tc>
          <w:tcPr>
            <w:tcW w:w="1440" w:type="dxa"/>
            <w:vAlign w:val="center"/>
          </w:tcPr>
          <w:p>
            <w:pPr>
              <w:jc w:val="left"/>
              <w:rPr>
                <w:rStyle w:val="18"/>
                <w:rFonts w:ascii="宋体" w:hAnsi="宋体"/>
                <w:kern w:val="0"/>
                <w:sz w:val="24"/>
              </w:rPr>
            </w:pPr>
            <w:r>
              <w:rPr>
                <w:rStyle w:val="18"/>
                <w:rFonts w:ascii="宋体" w:hAnsi="宋体" w:cs="宋体"/>
                <w:b/>
                <w:bCs/>
                <w:kern w:val="0"/>
                <w:sz w:val="24"/>
              </w:rPr>
              <w:t>邮政编码</w:t>
            </w:r>
          </w:p>
        </w:tc>
        <w:tc>
          <w:tcPr>
            <w:tcW w:w="1485" w:type="dxa"/>
            <w:vAlign w:val="center"/>
          </w:tcPr>
          <w:p>
            <w:pPr>
              <w:jc w:val="left"/>
              <w:rPr>
                <w:rStyle w:val="18"/>
                <w:rFonts w:ascii="宋体" w:hAnsi="宋体"/>
                <w:kern w:val="0"/>
                <w:sz w:val="24"/>
              </w:rPr>
            </w:pPr>
            <w:r>
              <w:rPr>
                <w:rStyle w:val="18"/>
                <w:rFonts w:ascii="宋体" w:hAnsi="宋体" w:cs="宋体"/>
                <w:b/>
                <w:bCs/>
                <w:kern w:val="0"/>
                <w:sz w:val="24"/>
              </w:rPr>
              <w:t>联系电话</w:t>
            </w:r>
          </w:p>
        </w:tc>
      </w:tr>
      <w:tr>
        <w:tc>
          <w:tcPr>
            <w:tcW w:w="1753" w:type="dxa"/>
            <w:vAlign w:val="center"/>
          </w:tcPr>
          <w:p>
            <w:pPr>
              <w:jc w:val="left"/>
              <w:rPr>
                <w:rFonts w:hint="eastAsia"/>
                <w:lang w:val="en-US" w:eastAsia="zh-CN"/>
              </w:rPr>
            </w:pPr>
            <w:r>
              <w:rPr>
                <w:rFonts w:hint="eastAsia"/>
                <w:lang w:eastAsia="zh-CN"/>
              </w:rPr>
              <w:t>刘</w:t>
            </w:r>
            <w:r>
              <w:rPr>
                <w:rFonts w:hint="eastAsia"/>
                <w:lang w:val="en-US" w:eastAsia="zh-CN"/>
              </w:rPr>
              <w:t xml:space="preserve">  军</w:t>
            </w:r>
          </w:p>
          <w:p>
            <w:pPr>
              <w:pStyle w:val="2"/>
              <w:ind w:left="0" w:leftChars="0" w:firstLine="0" w:firstLineChars="0"/>
              <w:rPr>
                <w:rFonts w:hint="default"/>
                <w:lang w:val="en-US" w:eastAsia="zh-CN"/>
              </w:rPr>
            </w:pPr>
            <w:r>
              <w:rPr>
                <w:rFonts w:hint="eastAsia" w:ascii="Times New Roman" w:hAnsi="Times New Roman" w:eastAsia="宋体"/>
                <w:lang w:val="en-US" w:eastAsia="zh-CN"/>
              </w:rPr>
              <w:t>释印觉</w:t>
            </w:r>
          </w:p>
        </w:tc>
        <w:tc>
          <w:tcPr>
            <w:tcW w:w="3872" w:type="dxa"/>
            <w:vAlign w:val="center"/>
          </w:tcPr>
          <w:p>
            <w:pPr>
              <w:jc w:val="left"/>
              <w:rPr>
                <w:rFonts w:hint="eastAsia"/>
                <w:lang w:val="en-US" w:eastAsia="zh-CN"/>
              </w:rPr>
            </w:pPr>
            <w:r>
              <w:rPr>
                <w:rFonts w:hint="eastAsia"/>
                <w:lang w:val="en-US" w:eastAsia="zh-CN"/>
              </w:rPr>
              <w:t>镇远县青龙洞道观</w:t>
            </w:r>
          </w:p>
          <w:p>
            <w:pPr>
              <w:pStyle w:val="2"/>
              <w:ind w:left="0" w:leftChars="0" w:firstLine="0" w:firstLineChars="0"/>
              <w:rPr>
                <w:rFonts w:hint="default"/>
                <w:lang w:val="en-US" w:eastAsia="zh-CN"/>
              </w:rPr>
            </w:pPr>
            <w:r>
              <w:rPr>
                <w:rFonts w:hint="eastAsia"/>
                <w:lang w:val="en-US" w:eastAsia="zh-CN"/>
              </w:rPr>
              <w:t>镇远县中元禅院</w:t>
            </w:r>
          </w:p>
        </w:tc>
        <w:tc>
          <w:tcPr>
            <w:tcW w:w="1440" w:type="dxa"/>
            <w:vAlign w:val="center"/>
          </w:tcPr>
          <w:p>
            <w:pPr>
              <w:jc w:val="left"/>
              <w:rPr>
                <w:rStyle w:val="18"/>
                <w:rFonts w:hint="default" w:ascii="宋体" w:hAnsi="宋体" w:eastAsia="宋体"/>
                <w:kern w:val="0"/>
                <w:sz w:val="24"/>
                <w:lang w:val="en-US" w:eastAsia="zh-CN"/>
              </w:rPr>
            </w:pPr>
            <w:r>
              <w:rPr>
                <w:rStyle w:val="18"/>
                <w:rFonts w:hint="eastAsia" w:ascii="宋体" w:hAnsi="宋体"/>
                <w:kern w:val="0"/>
                <w:sz w:val="24"/>
              </w:rPr>
              <w:t>55</w:t>
            </w:r>
            <w:r>
              <w:rPr>
                <w:rStyle w:val="18"/>
                <w:rFonts w:hint="eastAsia" w:ascii="宋体" w:hAnsi="宋体"/>
                <w:kern w:val="0"/>
                <w:sz w:val="24"/>
                <w:lang w:val="en-US"/>
              </w:rPr>
              <w:t>7700</w:t>
            </w:r>
          </w:p>
        </w:tc>
        <w:tc>
          <w:tcPr>
            <w:tcW w:w="1485" w:type="dxa"/>
            <w:vAlign w:val="center"/>
          </w:tcPr>
          <w:p>
            <w:pPr>
              <w:jc w:val="left"/>
              <w:rPr>
                <w:rFonts w:hint="eastAsia" w:ascii="Times New Roman" w:hAnsi="Times New Roman" w:eastAsia="宋体" w:cstheme="minorBidi"/>
                <w:kern w:val="2"/>
                <w:sz w:val="20"/>
                <w:szCs w:val="22"/>
                <w:lang w:val="en-US" w:eastAsia="zh-CN" w:bidi="ar-SA"/>
              </w:rPr>
            </w:pPr>
            <w:r>
              <w:rPr>
                <w:rFonts w:hint="eastAsia"/>
                <w:lang w:val="en-US" w:eastAsia="zh-CN"/>
              </w:rPr>
              <w:t>1</w:t>
            </w:r>
            <w:r>
              <w:rPr>
                <w:rFonts w:hint="eastAsia" w:ascii="Times New Roman" w:hAnsi="Times New Roman" w:eastAsia="宋体" w:cstheme="minorBidi"/>
                <w:kern w:val="2"/>
                <w:sz w:val="20"/>
                <w:szCs w:val="22"/>
                <w:lang w:val="en-US" w:eastAsia="zh-CN" w:bidi="ar-SA"/>
              </w:rPr>
              <w:t>5185714153</w:t>
            </w:r>
          </w:p>
          <w:p>
            <w:pPr>
              <w:pStyle w:val="2"/>
              <w:ind w:left="0" w:leftChars="0" w:firstLine="0" w:firstLineChars="0"/>
              <w:rPr>
                <w:rFonts w:hint="default"/>
                <w:lang w:val="en-US" w:eastAsia="zh-CN"/>
              </w:rPr>
            </w:pPr>
            <w:r>
              <w:rPr>
                <w:rFonts w:hint="eastAsia" w:ascii="Times New Roman" w:hAnsi="Times New Roman" w:eastAsia="宋体"/>
                <w:sz w:val="20"/>
                <w:szCs w:val="22"/>
                <w:lang w:val="en-US" w:eastAsia="zh-CN"/>
              </w:rPr>
              <w:t>18985448488</w:t>
            </w:r>
          </w:p>
        </w:tc>
      </w:tr>
      <w:tr>
        <w:tblPrEx>
          <w:tblCellMar>
            <w:top w:w="0" w:type="dxa"/>
            <w:left w:w="15" w:type="dxa"/>
            <w:bottom w:w="0" w:type="dxa"/>
            <w:right w:w="15" w:type="dxa"/>
          </w:tblCellMar>
        </w:tblPrEx>
        <w:tc>
          <w:tcPr>
            <w:tcW w:w="1753" w:type="dxa"/>
            <w:vAlign w:val="center"/>
          </w:tcPr>
          <w:p>
            <w:pPr>
              <w:jc w:val="left"/>
              <w:rPr>
                <w:rStyle w:val="18"/>
                <w:rFonts w:hint="eastAsia" w:ascii="宋体" w:hAnsi="宋体" w:eastAsia="宋体"/>
                <w:kern w:val="0"/>
                <w:sz w:val="24"/>
                <w:lang w:eastAsia="zh-CN"/>
              </w:rPr>
            </w:pPr>
            <w:r>
              <w:rPr>
                <w:rStyle w:val="18"/>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8"/>
                <w:rFonts w:hint="eastAsia" w:ascii="宋体" w:hAnsi="宋体"/>
                <w:kern w:val="0"/>
                <w:sz w:val="24"/>
                <w:lang w:val="en-US" w:eastAsia="zh-CN"/>
              </w:rPr>
            </w:pPr>
            <w:r>
              <w:rPr>
                <w:rStyle w:val="18"/>
                <w:rFonts w:hint="eastAsia" w:ascii="宋体" w:hAnsi="宋体"/>
                <w:kern w:val="0"/>
                <w:sz w:val="24"/>
                <w:lang w:eastAsia="zh-CN"/>
              </w:rPr>
              <w:t>州委办秘书五科：</w:t>
            </w:r>
            <w:r>
              <w:rPr>
                <w:rStyle w:val="18"/>
                <w:rFonts w:hint="eastAsia" w:ascii="宋体" w:hAnsi="宋体"/>
                <w:kern w:val="0"/>
                <w:sz w:val="24"/>
                <w:lang w:val="en-US" w:eastAsia="zh-CN"/>
              </w:rPr>
              <w:t>8270060；</w:t>
            </w:r>
            <w:r>
              <w:rPr>
                <w:rStyle w:val="18"/>
                <w:rFonts w:hint="eastAsia" w:ascii="宋体" w:hAnsi="宋体"/>
                <w:kern w:val="0"/>
                <w:sz w:val="24"/>
                <w:lang w:eastAsia="zh-CN"/>
              </w:rPr>
              <w:t>州政府办建议提案科：</w:t>
            </w:r>
            <w:r>
              <w:rPr>
                <w:rStyle w:val="18"/>
                <w:rFonts w:hint="eastAsia" w:ascii="宋体" w:hAnsi="宋体"/>
                <w:kern w:val="0"/>
                <w:sz w:val="24"/>
                <w:lang w:val="en-US" w:eastAsia="zh-CN"/>
              </w:rPr>
              <w:t>8260016；</w:t>
            </w:r>
          </w:p>
          <w:p>
            <w:pPr>
              <w:jc w:val="left"/>
              <w:rPr>
                <w:rStyle w:val="18"/>
                <w:rFonts w:hint="default" w:ascii="宋体" w:hAnsi="宋体"/>
                <w:kern w:val="0"/>
                <w:sz w:val="24"/>
                <w:lang w:val="en-US"/>
              </w:rPr>
            </w:pPr>
            <w:r>
              <w:rPr>
                <w:rStyle w:val="18"/>
                <w:rFonts w:hint="eastAsia" w:ascii="宋体" w:hAnsi="宋体"/>
                <w:kern w:val="0"/>
                <w:sz w:val="24"/>
                <w:lang w:eastAsia="zh-CN"/>
              </w:rPr>
              <w:t>州政协提案委：</w:t>
            </w:r>
            <w:r>
              <w:rPr>
                <w:rStyle w:val="18"/>
                <w:rFonts w:hint="eastAsia" w:ascii="宋体" w:hAnsi="宋体"/>
                <w:kern w:val="0"/>
                <w:sz w:val="24"/>
                <w:lang w:val="en-US" w:eastAsia="zh-CN"/>
              </w:rPr>
              <w:t>8428866</w:t>
            </w:r>
            <w:r>
              <w:rPr>
                <w:rStyle w:val="18"/>
                <w:rFonts w:hint="eastAsia" w:ascii="宋体" w:hAnsi="宋体"/>
                <w:kern w:val="0"/>
                <w:sz w:val="24"/>
                <w:lang w:eastAsia="zh-CN"/>
              </w:rPr>
              <w:t>。</w:t>
            </w:r>
          </w:p>
        </w:tc>
      </w:tr>
    </w:tbl>
    <w:p>
      <w:pPr>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内容和办法</w:t>
      </w:r>
      <w:r>
        <w:rPr>
          <w:rStyle w:val="18"/>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eastAsia="zh-CN"/>
        </w:rPr>
      </w:pPr>
      <w:r>
        <w:rPr>
          <w:rStyle w:val="18"/>
          <w:rFonts w:hint="eastAsia" w:ascii="仿宋_GB2312" w:hAnsi="宋体" w:eastAsia="仿宋_GB2312"/>
          <w:kern w:val="0"/>
          <w:sz w:val="32"/>
          <w:szCs w:val="32"/>
          <w:lang w:val="en-US" w:eastAsia="zh-CN"/>
        </w:rPr>
        <w:t>1930年4月至1936年1月</w:t>
      </w:r>
      <w:r>
        <w:rPr>
          <w:rStyle w:val="18"/>
          <w:rFonts w:hint="eastAsia" w:ascii="仿宋_GB2312" w:hAnsi="宋体" w:eastAsia="仿宋_GB2312"/>
          <w:kern w:val="0"/>
          <w:sz w:val="32"/>
          <w:szCs w:val="32"/>
          <w:lang w:eastAsia="zh-CN"/>
        </w:rPr>
        <w:t>，红军四支部队前后征战于黔东南榕江、从江、黎平、三穗、剑河、台江、镇远、施秉、黄平、岑巩等十二县，足迹遍布在黔东南这块土地，谱写了中国革命史上的光辉篇章。</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1934年12月18日，中共中央政治局在黎平县城召开会议，会议肯定了毛泽东同志关于向贵州进军北上遵义的正确主张并制定了新的战略行动方针，为遵义会议的伟大转折作出了前期铺垫。红军一、九军团于1934年12月25日攻克了黔第二十五军守备森严的西南军事重镇古城镇远。红军缴获的大量装备和给养物资，使红军得到极大补充。陈云同志在《随军西行见闻录》中记叙：“红军由湖南转入贵州，此时确缴获不少。侯之担部至少一师人被缴械，并连战黎平、黄平、镇远三府城，尤其镇远为通湘西之商业重镇，红军将各城市所存布匹购买一空。连战连进，此时红军士气极旺，服装整洁。部队中多穿上了新军装。在湘南之疲劳状态，已一扫而空矣。”有文史学者认为：遵义会议从政治上挽救了红军，而镇远则从物资上挽救了红军。1935年11月19日，红二、六军团从湘西进入贵州镇远县羊坪镇和大地乡，并在石阡、镇远、黄平等地之间频繁活动。红军转战黔东南，留下众多彪炳史册的红色文化史迹，是极为宝贵的红色文化资源，是留给后代难得的精神财富。</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 xml:space="preserve">党的十八大以来，习近平总书记多次强调要从中国革命历史、优良传统中汲取养分。他指出，“对我们共产党人来说，中国革命历史是最好的营养剂。多重温这些伟大历史，心中就会增加很多正能量”，共产党员要“把理想信念时时处处体现为行动的力量，树立起让人看得见、感受得到的理想信念标杆”。建党百年，在新时期全面开展党史学习教育工作过程中，更需要宣传好、弘扬好中国共产党人的奋斗精神，传承好、发扬好中国共产党的红色基因，推动其蕴含的价值理念与精神追求更加深入人心、引领风尚，让红色事业薪火相传、血脉相继。  </w:t>
      </w:r>
      <w:r>
        <w:rPr>
          <w:rStyle w:val="18"/>
          <w:rFonts w:hint="eastAsia" w:ascii="仿宋_GB2312" w:hAnsi="宋体" w:eastAsia="仿宋_GB2312"/>
          <w:kern w:val="0"/>
          <w:sz w:val="32"/>
          <w:szCs w:val="32"/>
          <w:lang w:val="en-US" w:eastAsia="zh-CN"/>
        </w:rPr>
        <w:br w:type="textWrapping"/>
      </w:r>
      <w:r>
        <w:rPr>
          <w:rStyle w:val="18"/>
          <w:rFonts w:hint="eastAsia" w:ascii="仿宋_GB2312" w:hAnsi="宋体" w:eastAsia="仿宋_GB2312"/>
          <w:kern w:val="0"/>
          <w:sz w:val="32"/>
          <w:szCs w:val="32"/>
          <w:lang w:val="en-US" w:eastAsia="zh-CN"/>
        </w:rPr>
        <w:t xml:space="preserve">    自上世纪八十年代以来，我州有关部门曾做了大量搜集、整理、研究工作，也出版了相关史料文集。然由于宣传力度不大，黔东南的红色革命史实鲜为人知。因此，需要采取切实措施，加大宣传力度，建立红色文化基金会，使之在黔东南绽放出红色文化的夺目光彩，更好地服务于社会、服务于发展、孕育于人们的心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建议：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方正黑体_GBK" w:hAnsi="方正黑体_GBK" w:eastAsia="方正黑体_GBK" w:cs="方正黑体_GBK"/>
          <w:kern w:val="0"/>
          <w:sz w:val="32"/>
          <w:szCs w:val="32"/>
          <w:lang w:val="en-US" w:eastAsia="zh-CN"/>
        </w:rPr>
        <w:t>一、建立红色教育基地</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default"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我州目前仅有黎平、榕江两县有关于红军活动内容的专馆。其他例如镇远县是利用上官民居建立的“镇远革命史馆”，展示镇远革命史的内容。这些展馆虽然也有当年红军革命活动综述，但其反映的内容仍需要拓展补充，特别是近些年来收集、研究的一些文图资料和实物。在镇远等红军转战活动过的县建立红军活动史专题馆，并使之成为红色文化教育基地。</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要积极争取场馆建设的专项扶持资金，以保障红色史迹保护与建设开发得以顺利实施。在扩大场馆建设的同时，要与中国军事博物馆、省内外红军史展馆加强业务联系，复制一批红军遗留文物展品，以充实陈展的实物内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要抓住当前国家建设长征文化公园的契机，积极组织申报我州各县长征文化公园项目，争取纳入国家长征文化公园的总体建设规划中。</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方正黑体_GBK" w:hAnsi="方正黑体_GBK" w:eastAsia="方正黑体_GBK" w:cs="方正黑体_GBK"/>
          <w:kern w:val="0"/>
          <w:sz w:val="32"/>
          <w:szCs w:val="32"/>
          <w:lang w:val="en-US" w:eastAsia="zh-CN"/>
        </w:rPr>
      </w:pPr>
      <w:r>
        <w:rPr>
          <w:rStyle w:val="18"/>
          <w:rFonts w:hint="eastAsia" w:ascii="方正黑体_GBK" w:hAnsi="方正黑体_GBK" w:eastAsia="方正黑体_GBK" w:cs="方正黑体_GBK"/>
          <w:kern w:val="0"/>
          <w:sz w:val="32"/>
          <w:szCs w:val="32"/>
          <w:lang w:val="en-US" w:eastAsia="zh-CN"/>
        </w:rPr>
        <w:t>二、拓展史实研究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着力构建红色文化的研究交流机制和平台。上世纪80年代中期以后，我州党史研究等部门收集整理了上世纪20年代（即中国共产党成立）以来在我州蕴生的红色文化，这些史料为宣传、研究红军在黔东南的革命活动提供了史实文献记录。随着信息传播和大数据的进一步利用，可与国家军事博物馆寻求支持，选择复制有适用于我州展馆的图片、实物；积极与省、州史志部门联合，建立研究成果共享机制，并聘请有关专家学者莅临指导，使我州红色文化研究、展示宣传进一步深入拓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注重团结和调动本州各方积极力量，深入开展红军征战黔东南史实研究。布置调研课题，采取专业与社会人士相结合方式，对重大史实进一步展开学术探讨，并适时召开成果研讨会；本着尊重历史、还原真实的原则展开学术争鸣，以对当时红军征战黔东南的重大军事行动的时间、地点及作战部队、协作部队、进军路线等重大史实进行深入研讨分析，去伪存真，在全州内达成共识，避免在宣传各执一词相互抵牾而使外界难辨真伪、不知所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方正黑体_GBK" w:hAnsi="方正黑体_GBK" w:eastAsia="方正黑体_GBK" w:cs="方正黑体_GBK"/>
          <w:kern w:val="0"/>
          <w:sz w:val="32"/>
          <w:szCs w:val="32"/>
          <w:lang w:val="en-US" w:eastAsia="zh-CN"/>
        </w:rPr>
      </w:pPr>
      <w:r>
        <w:rPr>
          <w:rStyle w:val="18"/>
          <w:rFonts w:hint="eastAsia" w:ascii="方正黑体_GBK" w:hAnsi="方正黑体_GBK" w:eastAsia="方正黑体_GBK" w:cs="方正黑体_GBK"/>
          <w:kern w:val="0"/>
          <w:sz w:val="32"/>
          <w:szCs w:val="32"/>
          <w:lang w:val="en-US" w:eastAsia="zh-CN"/>
        </w:rPr>
        <w:t>三、扩大宣传影响</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自上世纪80年代初旅游开发以来，我州黎平会议展馆、榕江红七军活动遗址、镇远和平村、周达文故居虽有－定知晓率和知名度，并列入省级爱国主义教育基地，但总体上看，展馆还停留在资料展陈层面，对实地、实景、实物、实情的宣传严重不足，激发不出观者触景生情的感受。鉴于此，需要从州级层面加大红色文化宣传力度，统筹规划设置大型红军雕塑纪念塔、中国革命老区等醒目地标建筑、红军战斗遗址标志等。还需要利用抖音等诸多新媒体方式，拓宽宣传的渠道，丰富宣传的内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多年来，本州的导游讲解已形成“苗乡侗寨”“历史文化名城、名镇”的固有模式。导游词基本没有涉及红军征战黔东南的红色文化内容；本州中小学生、社区群众乃至机关干部不清楚在他们生活的这块土地上曾留下红军的光辉足迹。所以，有必要进行导游专题培训，补写有红色文化的导游词。要让红色文化走进校园，将红军征战黔东南的故事编入学生课外阅读补充教材，使红色文化根植于校园，成为中小学师生的课余热门话题而代代传承。机关干部、社区工作者群体也应大体粗线条知晓红军征战黔东南史实，并列入地方党史教育和党史学习考试内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方正黑体_GBK" w:hAnsi="方正黑体_GBK" w:eastAsia="方正黑体_GBK" w:cs="方正黑体_GBK"/>
          <w:kern w:val="0"/>
          <w:sz w:val="32"/>
          <w:szCs w:val="32"/>
          <w:lang w:val="en-US" w:eastAsia="zh-CN"/>
        </w:rPr>
      </w:pPr>
      <w:r>
        <w:rPr>
          <w:rStyle w:val="18"/>
          <w:rFonts w:hint="eastAsia" w:ascii="方正黑体_GBK" w:hAnsi="方正黑体_GBK" w:eastAsia="方正黑体_GBK" w:cs="方正黑体_GBK"/>
          <w:kern w:val="0"/>
          <w:sz w:val="32"/>
          <w:szCs w:val="32"/>
          <w:lang w:val="en-US" w:eastAsia="zh-CN"/>
        </w:rPr>
        <w:t>四、繁荣文艺创作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文艺宣传是最好的传播方式。在讲好黔东南故事中，既要讲好黔东南的历史文化，民族民间文化，更要讲好黔东南的红色文化。当前，我省推出的电视剧《雄关漫道》《绝地突围》《绝命后卫师》《伟大的转折》多反映铜仁地区、遵义地区。我州在这方面还是个空白。建议我州宣传文化部门积极组织力量进行红军转战黔东南题材的文艺创作。鼓励扶持本土作家出红色题材作品，出精品。也可聘请写作经验丰富的作家深入我州生活，创作有厚度的电影、电视剧作品。在鼓励红色文化创作的基础出版一批反映我州有分量的红色文化的歌曲、美术、书法、诗歌、散文、小说、戏剧等作品。举办红色文化演讲、演唱会、书法美术红色文化创作专题展。基层文化工作者也要自觉地将红色文化纳入开展群众文化活动范畴，让红色文化成为群众喜闻乐见、入脑入心的形式和内容，使红色文化成为当地群文文化活动的一大看点。可充分利用本地众多的广场舞组织，创作出红军题材的舞蹈、花灯、歌伴舞等，以丰富群众文化活动内容。在组织创作中，可将成熟的作品加工制作成光碟，进行原创作品二度创作的编导、表演评奖。如此，既彰显了地方群众文化特色，又让红色文化根植于我州广大群众之中。</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本州群众文化馆更是要将红色文化创作、编导、示范演出纳入自己的重要工作安排，积极组织开展群众性的红色文化表演活，要对各个表演队进行创作与编导力量扶持，使他们的表演技巧能更上一层楼而进一步增强艺术感染力。</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可请军旅题材影视剧作家深入黔东南实地考察，创作红军征战黔东南主题影视作品。积极鼓励扶持本土作者进行红军征战为题材的诗歌、散文、小说、纪实文学、戏剧、影视、音乐、歌舞，美术等方面体裁的创作，创作－批有分量的作品，使之与唱响苗乡侗寨并驾齐驱，彰显出我州特色文化的又－道亮丽景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目前黔东南在旅游产品开发中多以地方民族文化的银饰、制绣工艺和酸沥食品为主，其他如木雕、篾扎，蜡染等也占有一定份额，主要反映原生态民族民间文化，缺乏反映红色文化的旅游产品。因此，怎样在旅游产品研发中注入红色文化这一元素并形成标识，值得我们主管部门深入思考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方正黑体_GBK" w:hAnsi="方正黑体_GBK" w:eastAsia="方正黑体_GBK" w:cs="方正黑体_GBK"/>
          <w:kern w:val="0"/>
          <w:sz w:val="32"/>
          <w:szCs w:val="32"/>
          <w:lang w:val="en-US" w:eastAsia="zh-CN"/>
        </w:rPr>
      </w:pPr>
      <w:r>
        <w:rPr>
          <w:rStyle w:val="18"/>
          <w:rFonts w:hint="eastAsia" w:ascii="方正黑体_GBK" w:hAnsi="方正黑体_GBK" w:eastAsia="方正黑体_GBK" w:cs="方正黑体_GBK"/>
          <w:kern w:val="0"/>
          <w:sz w:val="32"/>
          <w:szCs w:val="32"/>
          <w:lang w:val="en-US" w:eastAsia="zh-CN"/>
        </w:rPr>
        <w:t>五、建立黔东南州红色文化基金会</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lang w:val="en-US" w:eastAsia="zh-CN"/>
        </w:rPr>
        <w:t>当前黔东南烈士纪念设施1086处，有烈士墓940座（其中零散烈士墓216座），安葬烈士1536名（其中有名有姓的717名，红军烈士619名）。黔东南红军战斗遗址列入文物保护单位共计322个。其中国保1个、省保27个 ，其余294个为县保或者待定。由于财政困难，各县文保单位都难有专项资金进行抢救和保护。建长征文化公园、红色文化专馆、红军红念雕塑等爱国主义教育基地更是需要一笔不菲的资金。为了保证红色文化的抢救、保护、传承就要有一定的财力保障，建议建立黔东南州红色文化基金会。这个基金会可由州民政局、州退役军人事务局、州文旅局共同设立。基金来源，一是州财政每年作一定预算；二是争取国家、省、州专项资金；三是吸纳社会资助。资金主要用于县级红色文化遗址的建筑、标牌、雕塑设施、分散红军墓的修缮管理，大型长征文化公园的陈列馆内容设施和各县红军长红在黔东南专馆建设等。</w:t>
      </w:r>
      <w:r>
        <w:rPr>
          <w:rFonts w:hint="eastAsia" w:ascii="仿宋" w:hAnsi="仿宋" w:eastAsia="仿宋" w:cs="仿宋"/>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3"/>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3FFFB32C"/>
    <w:rsid w:val="3FFFE3C6"/>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7EB87B7"/>
    <w:rsid w:val="6854075C"/>
    <w:rsid w:val="69A37ABB"/>
    <w:rsid w:val="6B657A4B"/>
    <w:rsid w:val="6B6BD482"/>
    <w:rsid w:val="6B9B22E1"/>
    <w:rsid w:val="762A4BFD"/>
    <w:rsid w:val="77DEC814"/>
    <w:rsid w:val="7AFF21E4"/>
    <w:rsid w:val="7B7EC3A2"/>
    <w:rsid w:val="7C1F064D"/>
    <w:rsid w:val="7DBB9FDA"/>
    <w:rsid w:val="7E6E4452"/>
    <w:rsid w:val="7F3DD669"/>
    <w:rsid w:val="7FE0122B"/>
    <w:rsid w:val="7FFF2EBA"/>
    <w:rsid w:val="97D6C3E0"/>
    <w:rsid w:val="CDF7FEA7"/>
    <w:rsid w:val="E1DB5338"/>
    <w:rsid w:val="EE396E33"/>
    <w:rsid w:val="EE7D4E26"/>
    <w:rsid w:val="F76FD043"/>
    <w:rsid w:val="FA87AF83"/>
    <w:rsid w:val="FEEF87BA"/>
    <w:rsid w:val="FF6F7B92"/>
    <w:rsid w:val="FFBA6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4">
    <w:name w:val="table of authorities"/>
    <w:basedOn w:val="1"/>
    <w:next w:val="1"/>
    <w:qFormat/>
    <w:uiPriority w:val="0"/>
    <w:pPr>
      <w:ind w:left="420" w:leftChars="200"/>
    </w:pPr>
    <w:rPr>
      <w:szCs w:val="20"/>
    </w:rPr>
  </w:style>
  <w:style w:type="paragraph" w:styleId="5">
    <w:name w:val="Body Text"/>
    <w:basedOn w:val="1"/>
    <w:next w:val="3"/>
    <w:qFormat/>
    <w:uiPriority w:val="99"/>
    <w:pPr>
      <w:spacing w:afterAutospacing="1"/>
      <w:ind w:left="101"/>
    </w:pPr>
    <w:rPr>
      <w:rFonts w:ascii="宋体" w:hAnsi="宋体"/>
      <w:sz w:val="29"/>
      <w:szCs w:val="29"/>
    </w:rPr>
  </w:style>
  <w:style w:type="paragraph" w:styleId="6">
    <w:name w:val="Body Text Indent"/>
    <w:basedOn w:val="1"/>
    <w:next w:val="5"/>
    <w:qFormat/>
    <w:uiPriority w:val="99"/>
    <w:pPr>
      <w:spacing w:after="120"/>
      <w:ind w:left="420" w:leftChars="200"/>
    </w:p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8"/>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6"/>
    <w:next w:val="1"/>
    <w:qFormat/>
    <w:uiPriority w:val="99"/>
    <w:pPr>
      <w:ind w:left="0" w:leftChars="0" w:firstLine="880" w:firstLineChars="200"/>
    </w:pPr>
    <w:rPr>
      <w:rFonts w:eastAsia="仿宋_GB2312"/>
    </w:rPr>
  </w:style>
  <w:style w:type="character" w:styleId="16">
    <w:name w:val="Strong"/>
    <w:qFormat/>
    <w:uiPriority w:val="0"/>
    <w:rPr>
      <w:rFonts w:cs="Times New Roman"/>
      <w:b/>
      <w:bCs/>
    </w:rPr>
  </w:style>
  <w:style w:type="character" w:styleId="17">
    <w:name w:val="Hyperlink"/>
    <w:basedOn w:val="18"/>
    <w:semiHidden/>
    <w:qFormat/>
    <w:uiPriority w:val="0"/>
    <w:rPr>
      <w:color w:val="0000FF"/>
      <w:u w:val="single"/>
    </w:r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Heading1"/>
    <w:basedOn w:val="1"/>
    <w:link w:val="25"/>
    <w:qFormat/>
    <w:uiPriority w:val="0"/>
    <w:pPr>
      <w:spacing w:before="100" w:beforeAutospacing="1" w:after="100" w:afterAutospacing="1"/>
      <w:jc w:val="left"/>
    </w:pPr>
    <w:rPr>
      <w:rFonts w:ascii="宋体" w:hAnsi="宋体" w:cs="宋体"/>
      <w:b/>
      <w:bCs/>
      <w:kern w:val="36"/>
      <w:sz w:val="48"/>
      <w:szCs w:val="48"/>
    </w:rPr>
  </w:style>
  <w:style w:type="table" w:customStyle="1" w:styleId="20">
    <w:name w:val="TableNormal"/>
    <w:semiHidden/>
    <w:qFormat/>
    <w:uiPriority w:val="0"/>
    <w:tblPr>
      <w:tblCellMar>
        <w:top w:w="0" w:type="dxa"/>
        <w:left w:w="0" w:type="dxa"/>
        <w:bottom w:w="0" w:type="dxa"/>
        <w:right w:w="0" w:type="dxa"/>
      </w:tblCellMar>
    </w:tblPr>
  </w:style>
  <w:style w:type="paragraph" w:customStyle="1" w:styleId="21">
    <w:name w:val="Acetate"/>
    <w:basedOn w:val="1"/>
    <w:qFormat/>
    <w:uiPriority w:val="0"/>
    <w:rPr>
      <w:sz w:val="18"/>
      <w:szCs w:val="18"/>
    </w:rPr>
  </w:style>
  <w:style w:type="paragraph" w:customStyle="1" w:styleId="22">
    <w:name w:val="UserStyle_0"/>
    <w:basedOn w:val="1"/>
    <w:next w:val="23"/>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3">
    <w:name w:val="UserStyle_1"/>
    <w:basedOn w:val="22"/>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4">
    <w:name w:val="UserStyle_2"/>
    <w:basedOn w:val="1"/>
    <w:qFormat/>
    <w:uiPriority w:val="0"/>
    <w:pPr>
      <w:spacing w:before="100" w:beforeAutospacing="1" w:after="100" w:afterAutospacing="1"/>
      <w:jc w:val="left"/>
    </w:pPr>
    <w:rPr>
      <w:rFonts w:ascii="宋体" w:hAnsi="宋体"/>
      <w:kern w:val="0"/>
      <w:sz w:val="24"/>
    </w:rPr>
  </w:style>
  <w:style w:type="character" w:customStyle="1" w:styleId="25">
    <w:name w:val="UserStyle_3"/>
    <w:basedOn w:val="18"/>
    <w:link w:val="19"/>
    <w:qFormat/>
    <w:uiPriority w:val="0"/>
    <w:rPr>
      <w:rFonts w:ascii="宋体" w:hAnsi="宋体" w:cs="宋体"/>
      <w:b/>
      <w:bCs/>
      <w:kern w:val="36"/>
      <w:sz w:val="48"/>
      <w:szCs w:val="48"/>
    </w:rPr>
  </w:style>
  <w:style w:type="character" w:customStyle="1" w:styleId="26">
    <w:name w:val="UserStyle_4"/>
    <w:basedOn w:val="18"/>
    <w:qFormat/>
    <w:uiPriority w:val="0"/>
  </w:style>
  <w:style w:type="paragraph" w:customStyle="1" w:styleId="27">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8">
    <w:name w:val="页脚 Char"/>
    <w:basedOn w:val="15"/>
    <w:link w:val="9"/>
    <w:qFormat/>
    <w:uiPriority w:val="99"/>
    <w:rPr>
      <w:rFonts w:cstheme="minorBidi"/>
      <w:kern w:val="2"/>
      <w:sz w:val="18"/>
      <w:szCs w:val="18"/>
    </w:rPr>
  </w:style>
  <w:style w:type="paragraph" w:customStyle="1" w:styleId="29">
    <w:name w:val="正文-公1"/>
    <w:basedOn w:val="30"/>
    <w:next w:val="1"/>
    <w:qFormat/>
    <w:uiPriority w:val="99"/>
    <w:pPr>
      <w:ind w:firstLine="200" w:firstLineChars="200"/>
    </w:pPr>
    <w:rPr>
      <w:rFonts w:ascii="Calibri" w:hAnsi="Calibri"/>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9"/>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2">
    <w:name w:val="正文文本首行缩进 2"/>
    <w:basedOn w:val="6"/>
    <w:qFormat/>
    <w:uiPriority w:val="0"/>
    <w:pPr>
      <w:ind w:firstLine="420" w:firstLineChars="200"/>
    </w:pPr>
    <w:rPr>
      <w:rFonts w:ascii="Calibri" w:hAnsi="Calibri" w:eastAsia="宋体" w:cs="宋体"/>
    </w:rPr>
  </w:style>
  <w:style w:type="paragraph" w:customStyle="1" w:styleId="33">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2022-01-06T15:10:00Z</cp:lastPrinted>
  <dcterms:modified xsi:type="dcterms:W3CDTF">2022-01-08T06:29:23Z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