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beforeAutospacing="0" w:after="0" w:afterAutospacing="0" w:line="600" w:lineRule="exact"/>
        <w:jc w:val="center"/>
        <w:rPr>
          <w:rStyle w:val="9"/>
          <w:rFonts w:ascii="黑体" w:eastAsia="黑体"/>
          <w:sz w:val="44"/>
          <w:szCs w:val="44"/>
        </w:rPr>
      </w:pPr>
      <w:r>
        <w:rPr>
          <w:rStyle w:val="7"/>
          <w:rFonts w:ascii="黑体" w:eastAsia="黑体" w:cs="宋体"/>
          <w:sz w:val="44"/>
          <w:szCs w:val="44"/>
        </w:rPr>
        <w:t>中国人民政治协商会议</w:t>
      </w:r>
    </w:p>
    <w:p>
      <w:pPr>
        <w:pStyle w:val="13"/>
        <w:spacing w:before="0" w:beforeAutospacing="0" w:after="0" w:afterAutospacing="0" w:line="600" w:lineRule="exact"/>
        <w:jc w:val="center"/>
        <w:rPr>
          <w:rStyle w:val="9"/>
          <w:rFonts w:hint="eastAsia"/>
          <w:sz w:val="44"/>
          <w:szCs w:val="44"/>
        </w:rPr>
      </w:pPr>
      <w:r>
        <w:rPr>
          <w:rStyle w:val="9"/>
          <w:sz w:val="44"/>
          <w:szCs w:val="44"/>
        </w:rPr>
        <w:t>黔东南苗族侗族自治州委员会</w:t>
      </w:r>
    </w:p>
    <w:p>
      <w:pPr>
        <w:pStyle w:val="13"/>
        <w:spacing w:before="0" w:beforeAutospacing="0" w:after="0" w:afterAutospacing="0" w:line="600" w:lineRule="exact"/>
        <w:jc w:val="center"/>
        <w:rPr>
          <w:rStyle w:val="9"/>
          <w:rFonts w:hint="eastAsia"/>
          <w:sz w:val="44"/>
          <w:szCs w:val="44"/>
        </w:rPr>
      </w:pPr>
      <w:r>
        <w:rPr>
          <w:rStyle w:val="9"/>
          <w:sz w:val="44"/>
          <w:szCs w:val="44"/>
        </w:rPr>
        <w:t>提</w:t>
      </w:r>
      <w:r>
        <w:rPr>
          <w:rStyle w:val="9"/>
          <w:rFonts w:hint="eastAsia"/>
          <w:sz w:val="44"/>
          <w:szCs w:val="44"/>
        </w:rPr>
        <w:t xml:space="preserve">   </w:t>
      </w:r>
      <w:r>
        <w:rPr>
          <w:rStyle w:val="9"/>
          <w:sz w:val="44"/>
          <w:szCs w:val="44"/>
        </w:rPr>
        <w:t>案</w:t>
      </w:r>
    </w:p>
    <w:p>
      <w:pPr>
        <w:spacing w:line="320" w:lineRule="exact"/>
        <w:jc w:val="center"/>
        <w:textAlignment w:val="top"/>
        <w:rPr>
          <w:rStyle w:val="9"/>
          <w:rFonts w:hint="eastAsia" w:ascii="宋体" w:hAnsi="宋体"/>
          <w:kern w:val="0"/>
          <w:sz w:val="24"/>
        </w:rPr>
      </w:pPr>
    </w:p>
    <w:p>
      <w:pPr>
        <w:spacing w:line="320" w:lineRule="exact"/>
        <w:jc w:val="center"/>
        <w:textAlignment w:val="top"/>
        <w:rPr>
          <w:rStyle w:val="9"/>
          <w:rFonts w:hint="eastAsia" w:ascii="宋体" w:hAnsi="宋体"/>
          <w:kern w:val="0"/>
          <w:sz w:val="24"/>
        </w:rPr>
      </w:pPr>
    </w:p>
    <w:p>
      <w:pPr>
        <w:spacing w:line="760" w:lineRule="exact"/>
        <w:jc w:val="both"/>
        <w:textAlignment w:val="top"/>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9"/>
          <w:rFonts w:hint="default" w:ascii="宋体" w:hAnsi="宋体" w:eastAsia="宋体"/>
          <w:kern w:val="0"/>
          <w:sz w:val="24"/>
          <w:lang w:val="en-US" w:eastAsia="zh-CN"/>
        </w:rPr>
      </w:pPr>
      <w:r>
        <w:rPr>
          <w:rStyle w:val="9"/>
          <w:rFonts w:ascii="宋体" w:hAnsi="宋体"/>
          <w:kern w:val="0"/>
          <w:sz w:val="24"/>
        </w:rPr>
        <w:t>第十</w:t>
      </w:r>
      <w:r>
        <w:rPr>
          <w:rStyle w:val="9"/>
          <w:rFonts w:hint="eastAsia" w:ascii="宋体" w:hAnsi="宋体"/>
          <w:kern w:val="0"/>
          <w:sz w:val="24"/>
          <w:lang w:val="en-US" w:eastAsia="zh-CN"/>
        </w:rPr>
        <w:t>三</w:t>
      </w:r>
      <w:r>
        <w:rPr>
          <w:rStyle w:val="9"/>
          <w:rFonts w:ascii="宋体" w:hAnsi="宋体"/>
          <w:kern w:val="0"/>
          <w:sz w:val="24"/>
        </w:rPr>
        <w:t>届第</w:t>
      </w:r>
      <w:r>
        <w:rPr>
          <w:rStyle w:val="9"/>
          <w:rFonts w:hint="eastAsia" w:ascii="宋体" w:hAnsi="宋体"/>
          <w:kern w:val="0"/>
          <w:sz w:val="24"/>
          <w:lang w:val="en-US" w:eastAsia="zh-CN"/>
        </w:rPr>
        <w:t>一</w:t>
      </w:r>
      <w:r>
        <w:rPr>
          <w:rStyle w:val="9"/>
          <w:rFonts w:ascii="宋体" w:hAnsi="宋体"/>
          <w:kern w:val="0"/>
          <w:sz w:val="24"/>
        </w:rPr>
        <w:t>次会议　       　第</w:t>
      </w:r>
      <w:r>
        <w:rPr>
          <w:rStyle w:val="9"/>
          <w:rFonts w:hint="eastAsia" w:ascii="宋体" w:hAnsi="宋体"/>
          <w:kern w:val="0"/>
          <w:sz w:val="24"/>
          <w:lang w:val="en-US" w:eastAsia="zh-CN"/>
        </w:rPr>
        <w:t>121</w:t>
      </w:r>
      <w:r>
        <w:rPr>
          <w:rStyle w:val="9"/>
          <w:rFonts w:ascii="宋体" w:hAnsi="宋体"/>
          <w:kern w:val="0"/>
          <w:sz w:val="24"/>
        </w:rPr>
        <w:t xml:space="preserve">号　    </w:t>
      </w:r>
      <w:r>
        <w:rPr>
          <w:rStyle w:val="9"/>
          <w:rFonts w:hint="eastAsia" w:ascii="宋体" w:hAnsi="宋体"/>
          <w:kern w:val="0"/>
          <w:sz w:val="24"/>
        </w:rPr>
        <w:t xml:space="preserve">    </w:t>
      </w:r>
      <w:r>
        <w:rPr>
          <w:rStyle w:val="9"/>
          <w:rFonts w:hint="eastAsia" w:ascii="宋体" w:hAnsi="宋体"/>
          <w:kern w:val="0"/>
          <w:sz w:val="24"/>
          <w:lang w:val="en-US" w:eastAsia="zh-CN"/>
        </w:rPr>
        <w:t xml:space="preserve"> 类别：经济建设类     </w:t>
      </w:r>
    </w:p>
    <w:p>
      <w:pPr>
        <w:spacing w:line="320" w:lineRule="exact"/>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案</w:t>
            </w:r>
            <w:r>
              <w:rPr>
                <w:rStyle w:val="9"/>
                <w:rFonts w:ascii="宋体" w:hAnsi="宋体" w:eastAsia="黑体" w:cs="宋体"/>
                <w:b/>
                <w:bCs/>
                <w:kern w:val="0"/>
                <w:sz w:val="24"/>
              </w:rPr>
              <w:t>  </w:t>
            </w:r>
            <w:r>
              <w:rPr>
                <w:rStyle w:val="9"/>
                <w:rFonts w:ascii="黑体" w:hAnsi="宋体" w:eastAsia="黑体" w:cs="宋体"/>
                <w:b/>
                <w:bCs/>
                <w:kern w:val="0"/>
                <w:sz w:val="24"/>
              </w:rPr>
              <w:t>由</w:t>
            </w:r>
            <w:r>
              <w:rPr>
                <w:rStyle w:val="9"/>
                <w:rFonts w:ascii="宋体" w:hAnsi="宋体" w:cs="宋体"/>
                <w:b/>
                <w:bCs/>
                <w:kern w:val="0"/>
                <w:sz w:val="24"/>
              </w:rPr>
              <w:t>：</w:t>
            </w:r>
          </w:p>
        </w:tc>
        <w:tc>
          <w:tcPr>
            <w:tcW w:w="6797" w:type="dxa"/>
            <w:gridSpan w:val="3"/>
            <w:vAlign w:val="center"/>
          </w:tcPr>
          <w:p>
            <w:pPr>
              <w:jc w:val="left"/>
              <w:rPr>
                <w:rStyle w:val="9"/>
                <w:rFonts w:hint="eastAsia" w:ascii="宋体" w:hAnsi="宋体" w:cs="宋体" w:eastAsiaTheme="minorEastAsia"/>
                <w:b/>
                <w:bCs/>
                <w:kern w:val="0"/>
                <w:sz w:val="24"/>
                <w:lang w:eastAsia="zh-CN"/>
              </w:rPr>
            </w:pPr>
            <w:r>
              <w:rPr>
                <w:rStyle w:val="9"/>
                <w:rFonts w:hint="eastAsia" w:ascii="宋体" w:hAnsi="宋体" w:cs="宋体" w:eastAsiaTheme="minorEastAsia"/>
                <w:b/>
                <w:bCs/>
                <w:kern w:val="0"/>
                <w:sz w:val="24"/>
              </w:rPr>
              <w:t>关于用好绿色资源推动绿色产业高质量发展的</w:t>
            </w:r>
            <w:r>
              <w:rPr>
                <w:rStyle w:val="9"/>
                <w:rFonts w:hint="eastAsia" w:ascii="宋体" w:hAnsi="宋体" w:cs="宋体" w:eastAsiaTheme="minorEastAsia"/>
                <w:b/>
                <w:bCs/>
                <w:kern w:val="0"/>
                <w:sz w:val="24"/>
                <w:lang w:val="en-US" w:eastAsia="zh-CN"/>
              </w:rPr>
              <w:t>建议</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审查意见</w:t>
            </w:r>
            <w:r>
              <w:rPr>
                <w:rStyle w:val="9"/>
                <w:rFonts w:ascii="宋体" w:hAnsi="宋体" w:cs="宋体"/>
                <w:b/>
                <w:bCs/>
                <w:kern w:val="0"/>
                <w:sz w:val="24"/>
              </w:rPr>
              <w:t>：</w:t>
            </w:r>
          </w:p>
        </w:tc>
        <w:tc>
          <w:tcPr>
            <w:tcW w:w="6797" w:type="dxa"/>
            <w:gridSpan w:val="3"/>
            <w:vAlign w:val="center"/>
          </w:tcPr>
          <w:p>
            <w:pPr>
              <w:jc w:val="left"/>
              <w:rPr>
                <w:rStyle w:val="9"/>
                <w:rFonts w:hint="default" w:ascii="宋体" w:hAnsi="宋体" w:eastAsia="宋体"/>
                <w:kern w:val="0"/>
                <w:sz w:val="24"/>
                <w:lang w:val="en-US" w:eastAsia="zh-CN"/>
              </w:rPr>
            </w:pPr>
            <w:r>
              <w:rPr>
                <w:rStyle w:val="9"/>
                <w:rFonts w:hint="eastAsia" w:ascii="宋体" w:hAnsi="宋体"/>
                <w:kern w:val="0"/>
                <w:sz w:val="24"/>
                <w:lang w:eastAsia="zh-CN"/>
              </w:rPr>
              <w:t>主办：</w:t>
            </w:r>
            <w:r>
              <w:rPr>
                <w:rStyle w:val="9"/>
                <w:rFonts w:hint="eastAsia" w:ascii="宋体" w:hAnsi="宋体"/>
                <w:kern w:val="0"/>
                <w:sz w:val="24"/>
                <w:lang w:val="en-US" w:eastAsia="zh-CN"/>
              </w:rPr>
              <w:t>州金融办  会办：州人行、黔东南银保监分局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9"/>
                <w:rFonts w:ascii="黑体" w:hAnsi="宋体" w:eastAsia="黑体"/>
                <w:kern w:val="0"/>
                <w:sz w:val="24"/>
              </w:rPr>
            </w:pPr>
            <w:r>
              <w:rPr>
                <w:rStyle w:val="9"/>
                <w:rFonts w:ascii="黑体" w:hAnsi="宋体" w:eastAsia="黑体" w:cs="宋体"/>
                <w:b/>
                <w:bCs/>
                <w:kern w:val="0"/>
                <w:sz w:val="24"/>
              </w:rPr>
              <w:t>提</w:t>
            </w:r>
            <w:r>
              <w:rPr>
                <w:rStyle w:val="9"/>
                <w:rFonts w:ascii="宋体" w:hAnsi="宋体" w:eastAsia="黑体" w:cs="宋体"/>
                <w:b/>
                <w:bCs/>
                <w:kern w:val="0"/>
                <w:sz w:val="24"/>
              </w:rPr>
              <w:t> </w:t>
            </w:r>
            <w:r>
              <w:rPr>
                <w:rStyle w:val="9"/>
                <w:rFonts w:ascii="黑体" w:hAnsi="宋体" w:eastAsia="黑体" w:cs="宋体"/>
                <w:b/>
                <w:bCs/>
                <w:kern w:val="0"/>
                <w:sz w:val="24"/>
              </w:rPr>
              <w:t>案人</w:t>
            </w:r>
            <w:r>
              <w:rPr>
                <w:rStyle w:val="9"/>
                <w:rFonts w:ascii="宋体" w:hAnsi="宋体" w:eastAsia="黑体" w:cs="宋体"/>
                <w:b/>
                <w:bCs/>
                <w:kern w:val="0"/>
                <w:sz w:val="24"/>
              </w:rPr>
              <w:t>：</w:t>
            </w:r>
          </w:p>
        </w:tc>
        <w:tc>
          <w:tcPr>
            <w:tcW w:w="3872" w:type="dxa"/>
            <w:vAlign w:val="center"/>
          </w:tcPr>
          <w:p>
            <w:pPr>
              <w:jc w:val="left"/>
              <w:rPr>
                <w:rStyle w:val="9"/>
                <w:rFonts w:ascii="宋体" w:hAnsi="宋体"/>
                <w:kern w:val="0"/>
                <w:sz w:val="24"/>
              </w:rPr>
            </w:pPr>
            <w:r>
              <w:rPr>
                <w:rStyle w:val="9"/>
                <w:rFonts w:ascii="宋体" w:hAnsi="宋体" w:cs="宋体"/>
                <w:b/>
                <w:bCs/>
                <w:kern w:val="0"/>
                <w:sz w:val="24"/>
              </w:rPr>
              <w:t>通讯地址</w:t>
            </w:r>
          </w:p>
        </w:tc>
        <w:tc>
          <w:tcPr>
            <w:tcW w:w="1440" w:type="dxa"/>
            <w:vAlign w:val="center"/>
          </w:tcPr>
          <w:p>
            <w:pPr>
              <w:jc w:val="left"/>
              <w:rPr>
                <w:rStyle w:val="9"/>
                <w:rFonts w:ascii="宋体" w:hAnsi="宋体"/>
                <w:kern w:val="0"/>
                <w:sz w:val="24"/>
              </w:rPr>
            </w:pPr>
            <w:r>
              <w:rPr>
                <w:rStyle w:val="9"/>
                <w:rFonts w:ascii="宋体" w:hAnsi="宋体" w:cs="宋体"/>
                <w:b/>
                <w:bCs/>
                <w:kern w:val="0"/>
                <w:sz w:val="24"/>
              </w:rPr>
              <w:t>邮政编码</w:t>
            </w:r>
          </w:p>
        </w:tc>
        <w:tc>
          <w:tcPr>
            <w:tcW w:w="1485" w:type="dxa"/>
            <w:vAlign w:val="center"/>
          </w:tcPr>
          <w:p>
            <w:pPr>
              <w:jc w:val="left"/>
              <w:rPr>
                <w:rStyle w:val="9"/>
                <w:rFonts w:ascii="宋体" w:hAnsi="宋体"/>
                <w:kern w:val="0"/>
                <w:sz w:val="24"/>
              </w:rPr>
            </w:pPr>
            <w:r>
              <w:rPr>
                <w:rStyle w:val="9"/>
                <w:rFonts w:ascii="宋体" w:hAnsi="宋体" w:cs="宋体"/>
                <w:b/>
                <w:bCs/>
                <w:kern w:val="0"/>
                <w:sz w:val="24"/>
              </w:rPr>
              <w:t>联系电话</w:t>
            </w:r>
          </w:p>
        </w:tc>
      </w:tr>
      <w:tr>
        <w:tc>
          <w:tcPr>
            <w:tcW w:w="1753" w:type="dxa"/>
            <w:vAlign w:val="center"/>
          </w:tcPr>
          <w:p>
            <w:pPr>
              <w:jc w:val="left"/>
              <w:rPr>
                <w:rStyle w:val="9"/>
                <w:rFonts w:ascii="宋体" w:hAnsi="宋体"/>
                <w:kern w:val="0"/>
                <w:sz w:val="24"/>
              </w:rPr>
            </w:pPr>
            <w:r>
              <w:rPr>
                <w:rStyle w:val="9"/>
                <w:rFonts w:hint="eastAsia" w:ascii="宋体" w:hAnsi="宋体"/>
                <w:kern w:val="0"/>
                <w:sz w:val="24"/>
              </w:rPr>
              <w:t>罗发权</w:t>
            </w:r>
          </w:p>
        </w:tc>
        <w:tc>
          <w:tcPr>
            <w:tcW w:w="3872" w:type="dxa"/>
            <w:vAlign w:val="center"/>
          </w:tcPr>
          <w:p>
            <w:pPr>
              <w:jc w:val="left"/>
              <w:rPr>
                <w:rStyle w:val="9"/>
                <w:rFonts w:hint="eastAsia" w:ascii="宋体" w:hAnsi="宋体" w:eastAsia="宋体"/>
                <w:kern w:val="0"/>
                <w:sz w:val="24"/>
                <w:lang w:val="en-US" w:eastAsia="zh-CN"/>
              </w:rPr>
            </w:pPr>
            <w:r>
              <w:rPr>
                <w:rStyle w:val="9"/>
                <w:rFonts w:hint="eastAsia" w:ascii="宋体" w:hAnsi="宋体" w:eastAsia="宋体"/>
                <w:kern w:val="0"/>
                <w:sz w:val="24"/>
                <w:lang w:val="en-US" w:eastAsia="zh-CN"/>
              </w:rPr>
              <w:t>锦屏县农村信用合作联社基础建设部</w:t>
            </w:r>
          </w:p>
        </w:tc>
        <w:tc>
          <w:tcPr>
            <w:tcW w:w="1440" w:type="dxa"/>
            <w:vAlign w:val="center"/>
          </w:tcPr>
          <w:p>
            <w:pPr>
              <w:jc w:val="left"/>
              <w:rPr>
                <w:rStyle w:val="9"/>
                <w:rFonts w:hint="eastAsia" w:ascii="宋体" w:hAnsi="宋体" w:eastAsia="宋体"/>
                <w:kern w:val="0"/>
                <w:sz w:val="24"/>
                <w:lang w:eastAsia="zh-CN"/>
              </w:rPr>
            </w:pPr>
            <w:r>
              <w:rPr>
                <w:rStyle w:val="9"/>
                <w:rFonts w:hint="eastAsia" w:ascii="宋体" w:hAnsi="宋体"/>
                <w:kern w:val="0"/>
                <w:sz w:val="24"/>
              </w:rPr>
              <w:t>55670</w:t>
            </w:r>
            <w:r>
              <w:rPr>
                <w:rStyle w:val="9"/>
                <w:rFonts w:hint="eastAsia" w:ascii="宋体" w:hAnsi="宋体"/>
                <w:kern w:val="0"/>
                <w:sz w:val="24"/>
                <w:lang w:val="en-US" w:eastAsia="zh-CN"/>
              </w:rPr>
              <w:t>2</w:t>
            </w:r>
          </w:p>
        </w:tc>
        <w:tc>
          <w:tcPr>
            <w:tcW w:w="1485" w:type="dxa"/>
            <w:vAlign w:val="center"/>
          </w:tcPr>
          <w:p>
            <w:pPr>
              <w:jc w:val="left"/>
              <w:rPr>
                <w:rStyle w:val="9"/>
                <w:rFonts w:hint="default" w:ascii="宋体" w:hAnsi="宋体" w:eastAsia="宋体"/>
                <w:kern w:val="0"/>
                <w:sz w:val="24"/>
                <w:lang w:val="en-US" w:eastAsia="zh-CN"/>
              </w:rPr>
            </w:pPr>
            <w:r>
              <w:rPr>
                <w:rStyle w:val="9"/>
                <w:rFonts w:hint="default" w:ascii="宋体" w:hAnsi="宋体" w:eastAsia="宋体"/>
                <w:kern w:val="0"/>
                <w:sz w:val="24"/>
                <w:lang w:val="en-US" w:eastAsia="zh-CN"/>
              </w:rPr>
              <w:t>15085258676</w:t>
            </w:r>
          </w:p>
        </w:tc>
      </w:tr>
      <w:tr>
        <w:tblPrEx>
          <w:tblCellMar>
            <w:top w:w="0" w:type="dxa"/>
            <w:left w:w="15" w:type="dxa"/>
            <w:bottom w:w="0" w:type="dxa"/>
            <w:right w:w="15" w:type="dxa"/>
          </w:tblCellMar>
        </w:tblPrEx>
        <w:tc>
          <w:tcPr>
            <w:tcW w:w="1753" w:type="dxa"/>
            <w:vAlign w:val="center"/>
          </w:tcPr>
          <w:p>
            <w:pPr>
              <w:jc w:val="left"/>
              <w:rPr>
                <w:rStyle w:val="9"/>
                <w:rFonts w:hint="eastAsia" w:ascii="宋体" w:hAnsi="宋体" w:eastAsia="宋体"/>
                <w:kern w:val="0"/>
                <w:sz w:val="24"/>
                <w:lang w:eastAsia="zh-CN"/>
              </w:rPr>
            </w:pPr>
            <w:r>
              <w:rPr>
                <w:rStyle w:val="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9"/>
                <w:rFonts w:hint="eastAsia" w:ascii="宋体" w:hAnsi="宋体"/>
                <w:kern w:val="0"/>
                <w:sz w:val="24"/>
                <w:lang w:val="en-US" w:eastAsia="zh-CN"/>
              </w:rPr>
            </w:pPr>
            <w:r>
              <w:rPr>
                <w:rStyle w:val="9"/>
                <w:rFonts w:hint="eastAsia" w:ascii="宋体" w:hAnsi="宋体"/>
                <w:kern w:val="0"/>
                <w:sz w:val="24"/>
                <w:lang w:eastAsia="zh-CN"/>
              </w:rPr>
              <w:t>州委办秘书五科：</w:t>
            </w:r>
            <w:r>
              <w:rPr>
                <w:rStyle w:val="9"/>
                <w:rFonts w:hint="eastAsia" w:ascii="宋体" w:hAnsi="宋体"/>
                <w:kern w:val="0"/>
                <w:sz w:val="24"/>
                <w:lang w:val="en-US" w:eastAsia="zh-CN"/>
              </w:rPr>
              <w:t>8270060；</w:t>
            </w:r>
            <w:r>
              <w:rPr>
                <w:rStyle w:val="9"/>
                <w:rFonts w:hint="eastAsia" w:ascii="宋体" w:hAnsi="宋体"/>
                <w:kern w:val="0"/>
                <w:sz w:val="24"/>
                <w:lang w:eastAsia="zh-CN"/>
              </w:rPr>
              <w:t>州政府办建议提案科：</w:t>
            </w:r>
            <w:r>
              <w:rPr>
                <w:rStyle w:val="9"/>
                <w:rFonts w:hint="eastAsia" w:ascii="宋体" w:hAnsi="宋体"/>
                <w:kern w:val="0"/>
                <w:sz w:val="24"/>
                <w:lang w:val="en-US" w:eastAsia="zh-CN"/>
              </w:rPr>
              <w:t>8260016；</w:t>
            </w:r>
          </w:p>
          <w:p>
            <w:pPr>
              <w:jc w:val="left"/>
              <w:rPr>
                <w:rStyle w:val="9"/>
                <w:rFonts w:hint="default" w:ascii="宋体" w:hAnsi="宋体"/>
                <w:kern w:val="0"/>
                <w:sz w:val="24"/>
                <w:lang w:val="en-US"/>
              </w:rPr>
            </w:pPr>
            <w:r>
              <w:rPr>
                <w:rStyle w:val="9"/>
                <w:rFonts w:hint="eastAsia" w:ascii="宋体" w:hAnsi="宋体"/>
                <w:kern w:val="0"/>
                <w:sz w:val="24"/>
                <w:lang w:eastAsia="zh-CN"/>
              </w:rPr>
              <w:t>州政协提案委：</w:t>
            </w:r>
            <w:r>
              <w:rPr>
                <w:rStyle w:val="9"/>
                <w:rFonts w:hint="eastAsia" w:ascii="宋体" w:hAnsi="宋体"/>
                <w:kern w:val="0"/>
                <w:sz w:val="24"/>
                <w:lang w:val="en-US" w:eastAsia="zh-CN"/>
              </w:rPr>
              <w:t>8428866</w:t>
            </w:r>
            <w:r>
              <w:rPr>
                <w:rStyle w:val="9"/>
                <w:rFonts w:hint="eastAsia" w:ascii="宋体" w:hAnsi="宋体"/>
                <w:kern w:val="0"/>
                <w:sz w:val="24"/>
                <w:lang w:eastAsia="zh-CN"/>
              </w:rPr>
              <w:t>。</w:t>
            </w:r>
          </w:p>
        </w:tc>
      </w:tr>
    </w:tbl>
    <w:p>
      <w:pPr>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9"/>
          <w:rFonts w:hint="eastAsia" w:ascii="仿宋_GB2312" w:hAnsi="宋体" w:eastAsia="仿宋_GB2312"/>
          <w:kern w:val="0"/>
          <w:sz w:val="32"/>
          <w:szCs w:val="32"/>
        </w:rPr>
      </w:pPr>
      <w:r>
        <w:rPr>
          <w:rStyle w:val="9"/>
          <w:rFonts w:hint="eastAsia" w:ascii="仿宋_GB2312" w:hAnsi="宋体" w:eastAsia="仿宋_GB2312"/>
          <w:kern w:val="0"/>
          <w:sz w:val="32"/>
          <w:szCs w:val="32"/>
        </w:rPr>
        <w:t>内容和办法</w:t>
      </w:r>
      <w:r>
        <w:rPr>
          <w:rStyle w:val="9"/>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2021年2月3日至5日，习近平总书记到贵州视察时强调，优良生态环境是贵州最大的发展优势和竞争优势。深刻领会、坚决落实习近平总书记关于“持之以恒推进生态文明建设”的重要指示，要牢固树立生态优先、绿色发展的导向，统筹山水林田湖草系统治理，加大生态系统保护力度，科学推进石漠化、水土流失综合治理，不断做好绿水青山就是金山银山这篇大文章。黔东南州山川秀丽、绿色资源天赋异禀，在围绕“四新”主攻“四化”的高质量发展新阶段，坚持走好生态优先、绿色发展之路，是黔东南州立足新发展阶段、贯彻新发展理念、构建新发展格局的必然要求。</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存在问题</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一是绿色产业政策引导上未发力，绿色信贷政策保障上未建立、绿色金融服务体系尚未健全和绿色金融税收优惠政策上未完善，尤其是绿色信贷投放力度不强，助力全省绿色经济高质量发展的成效不明显。二是绿色金融供给端与需求端匹配度不高，现有的绿色信贷产品不能有效满足乡村振兴和现代农业发展资金需求大额化、资金周转长期化的需求。三是绿色经济信用环境建设不够有力。绿色经济行业信用信息采集和更新难，信用信息共享机制有待健全，缺乏统一有公信力的信用数据管理平台。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注重宣传引导，强化绿色政策宣传引导。在国家“大生态”政策和“十四五”规划指引下，以绿色为导向的产业发展迎来了快速发展期，围绕碳中和、碳达峰战略，各级各部门应加大绿色发展政策的宣传力度，构建持续、高效、快捷、准确的绿色评价体系，逐步将绿色指标纳入企业健康生产发展，强化金融机构信贷政策支持，提高企业对绿色资源、绿色产业的重视。</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注重完善体系，健全绿色金融服务体系。针对当前绿色产业发展，要以围绕绿色产业高质量发展为核心，进一步建立健全绿色金融服务体系。在信贷资金上重点向绿色产业倾斜，确保绿色企业最大限度获得绿色金融资金支持。建立和培育绿色金融管理人才队伍，以准确、高效的方式推动金融机构服务逐步向绿色发展转变。抵押担保上创新担保方式，探索拓宽绿色资源抵押担保，真正将资源优势转化成发展优势，“绿水青山”转变成“金山银山”，助推贵州绿色产业不断发展壮大。</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 三、注重建章立制，建立绿色发展保障机制。在发展绿色产业上，建议州政府从政策顶层设计上，考虑建立绿色发展资金池，为绿色信贷、绿色债券等企业融资提供担保，帮助企业降低融资成本。同时，建议州政府考虑建立金融机构绿色信贷风险补偿机制，从风险补偿金上、监管政策不良容忍度上、央行再贷款政策支持上、专项绿色信贷税收优惠上给予绿色金融机构支持与激励，通过政府政策驱动，进一步激发金融机构对绿色产业发展的信心和决心。同时，注重发挥金融机构、政府部门、中介组织合力，共同征集、整合农村基础信用信息，实现信息实时传递和即时共享，持续优化绿色经济行业领域信贷环境。</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9"/>
          <w:rFonts w:hint="eastAsia" w:ascii="仿宋" w:hAnsi="仿宋" w:eastAsia="仿宋" w:cs="仿宋"/>
          <w:kern w:val="0"/>
          <w:sz w:val="32"/>
          <w:szCs w:val="32"/>
          <w:lang w:val="en-US" w:eastAsia="zh-CN"/>
        </w:rPr>
      </w:pPr>
      <w:r>
        <w:rPr>
          <w:rStyle w:val="9"/>
          <w:rFonts w:hint="eastAsia" w:ascii="黑体" w:hAnsi="黑体" w:eastAsia="黑体" w:cs="黑体"/>
          <w:b/>
          <w:bCs/>
          <w:kern w:val="0"/>
          <w:sz w:val="32"/>
          <w:szCs w:val="32"/>
          <w:lang w:val="en-US" w:eastAsia="zh-CN"/>
        </w:rPr>
        <w:t>注：</w:t>
      </w:r>
      <w:r>
        <w:rPr>
          <w:rStyle w:val="9"/>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9"/>
          <w:rFonts w:hint="default" w:ascii="仿宋" w:hAnsi="仿宋" w:eastAsia="仿宋" w:cs="仿宋"/>
          <w:kern w:val="0"/>
          <w:sz w:val="32"/>
          <w:szCs w:val="32"/>
          <w:lang w:val="en-US" w:eastAsia="zh-CN"/>
        </w:rPr>
      </w:pPr>
      <w:r>
        <w:rPr>
          <w:rStyle w:val="9"/>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10B40BCC"/>
    <w:rsid w:val="118823F2"/>
    <w:rsid w:val="11CD2F75"/>
    <w:rsid w:val="18EC1E64"/>
    <w:rsid w:val="1A917DD9"/>
    <w:rsid w:val="1BAB45FA"/>
    <w:rsid w:val="21EA0B57"/>
    <w:rsid w:val="29EB237C"/>
    <w:rsid w:val="2FD84B80"/>
    <w:rsid w:val="30B878C9"/>
    <w:rsid w:val="33552650"/>
    <w:rsid w:val="377737A4"/>
    <w:rsid w:val="38D60616"/>
    <w:rsid w:val="38E6072A"/>
    <w:rsid w:val="3A7B4D73"/>
    <w:rsid w:val="3F1A5C90"/>
    <w:rsid w:val="40EA2BB8"/>
    <w:rsid w:val="42F10C9F"/>
    <w:rsid w:val="43953D03"/>
    <w:rsid w:val="4A196944"/>
    <w:rsid w:val="4F6B5D70"/>
    <w:rsid w:val="507F065A"/>
    <w:rsid w:val="52263247"/>
    <w:rsid w:val="5236789E"/>
    <w:rsid w:val="559F1A55"/>
    <w:rsid w:val="58167D2D"/>
    <w:rsid w:val="5A7C34BF"/>
    <w:rsid w:val="5AA17385"/>
    <w:rsid w:val="5B7C24C8"/>
    <w:rsid w:val="5C342431"/>
    <w:rsid w:val="61895CCF"/>
    <w:rsid w:val="61C325AD"/>
    <w:rsid w:val="62384D4B"/>
    <w:rsid w:val="66F35DD9"/>
    <w:rsid w:val="6854075C"/>
    <w:rsid w:val="69A37ABB"/>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snapToGrid w:val="0"/>
      <w:jc w:val="left"/>
    </w:pPr>
    <w:rPr>
      <w:sz w:val="18"/>
      <w:szCs w:val="18"/>
    </w:rPr>
  </w:style>
  <w:style w:type="paragraph" w:styleId="3">
    <w:name w:val="header"/>
    <w:basedOn w:val="1"/>
    <w:qFormat/>
    <w:uiPriority w:val="0"/>
    <w:pPr>
      <w:pBdr>
        <w:bottom w:val="single" w:color="000000" w:sz="6" w:space="0"/>
      </w:pBdr>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qFormat/>
    <w:uiPriority w:val="0"/>
    <w:rPr>
      <w:rFonts w:cs="Times New Roman"/>
      <w:b/>
      <w:bCs/>
    </w:rPr>
  </w:style>
  <w:style w:type="character" w:styleId="8">
    <w:name w:val="Hyperlink"/>
    <w:basedOn w:val="9"/>
    <w:semiHidden/>
    <w:qFormat/>
    <w:uiPriority w:val="0"/>
    <w:rPr>
      <w:color w:val="0000FF"/>
      <w:u w:val="single"/>
    </w:rPr>
  </w:style>
  <w:style w:type="character" w:customStyle="1" w:styleId="9">
    <w:name w:val="NormalCharacter"/>
    <w:semiHidden/>
    <w:qFormat/>
    <w:uiPriority w:val="0"/>
  </w:style>
  <w:style w:type="paragraph" w:customStyle="1" w:styleId="10">
    <w:name w:val="Heading1"/>
    <w:basedOn w:val="1"/>
    <w:link w:val="16"/>
    <w:qFormat/>
    <w:uiPriority w:val="0"/>
    <w:pPr>
      <w:spacing w:before="100" w:beforeAutospacing="1" w:after="100" w:afterAutospacing="1"/>
      <w:jc w:val="left"/>
    </w:pPr>
    <w:rPr>
      <w:rFonts w:ascii="宋体" w:hAnsi="宋体" w:cs="宋体"/>
      <w:b/>
      <w:bCs/>
      <w:kern w:val="36"/>
      <w:sz w:val="48"/>
      <w:szCs w:val="48"/>
    </w:rPr>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Acetate"/>
    <w:basedOn w:val="1"/>
    <w:qFormat/>
    <w:uiPriority w:val="0"/>
    <w:rPr>
      <w:sz w:val="18"/>
      <w:szCs w:val="18"/>
    </w:rPr>
  </w:style>
  <w:style w:type="paragraph" w:customStyle="1" w:styleId="13">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4">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5">
    <w:name w:val="UserStyle_2"/>
    <w:basedOn w:val="1"/>
    <w:qFormat/>
    <w:uiPriority w:val="0"/>
    <w:pPr>
      <w:spacing w:before="100" w:beforeAutospacing="1" w:after="100" w:afterAutospacing="1"/>
      <w:jc w:val="left"/>
    </w:pPr>
    <w:rPr>
      <w:rFonts w:ascii="宋体" w:hAnsi="宋体"/>
      <w:kern w:val="0"/>
      <w:sz w:val="24"/>
    </w:rPr>
  </w:style>
  <w:style w:type="character" w:customStyle="1" w:styleId="16">
    <w:name w:val="UserStyle_3"/>
    <w:basedOn w:val="9"/>
    <w:link w:val="10"/>
    <w:qFormat/>
    <w:uiPriority w:val="0"/>
    <w:rPr>
      <w:rFonts w:ascii="宋体" w:hAnsi="宋体" w:cs="宋体"/>
      <w:b/>
      <w:bCs/>
      <w:kern w:val="36"/>
      <w:sz w:val="48"/>
      <w:szCs w:val="48"/>
    </w:rPr>
  </w:style>
  <w:style w:type="character" w:customStyle="1" w:styleId="17">
    <w:name w:val="UserStyle_4"/>
    <w:basedOn w:val="9"/>
    <w:qFormat/>
    <w:uiPriority w:val="0"/>
  </w:style>
  <w:style w:type="paragraph" w:customStyle="1" w:styleId="1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19">
    <w:name w:val="页脚 Char"/>
    <w:basedOn w:val="6"/>
    <w:link w:val="2"/>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1</TotalTime>
  <ScaleCrop>false</ScaleCrop>
  <LinksUpToDate>false</LinksUpToDate>
  <CharactersWithSpaces>2054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2021-02-26T02:55:00Z</cp:lastPrinted>
  <dcterms:modified xsi:type="dcterms:W3CDTF">2022-03-29T06:40:31Z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