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600" w:lineRule="exact"/>
        <w:jc w:val="center"/>
        <w:rPr>
          <w:rStyle w:val="10"/>
          <w:rFonts w:ascii="黑体" w:eastAsia="黑体"/>
          <w:sz w:val="44"/>
          <w:szCs w:val="44"/>
        </w:rPr>
      </w:pPr>
      <w:r>
        <w:rPr>
          <w:rStyle w:val="8"/>
          <w:rFonts w:ascii="黑体" w:eastAsia="黑体" w:cs="宋体"/>
          <w:sz w:val="44"/>
          <w:szCs w:val="44"/>
        </w:rPr>
        <w:t>中国人民政治协商会议</w:t>
      </w:r>
    </w:p>
    <w:p>
      <w:pPr>
        <w:pStyle w:val="14"/>
        <w:spacing w:before="0" w:beforeAutospacing="0" w:after="0" w:afterAutospacing="0" w:line="600" w:lineRule="exact"/>
        <w:jc w:val="center"/>
        <w:rPr>
          <w:rStyle w:val="10"/>
          <w:rFonts w:hint="eastAsia"/>
          <w:sz w:val="44"/>
          <w:szCs w:val="44"/>
        </w:rPr>
      </w:pPr>
      <w:r>
        <w:rPr>
          <w:rStyle w:val="10"/>
          <w:sz w:val="44"/>
          <w:szCs w:val="44"/>
        </w:rPr>
        <w:t>黔东南苗族侗族自治州委员会</w:t>
      </w:r>
    </w:p>
    <w:p>
      <w:pPr>
        <w:pStyle w:val="14"/>
        <w:spacing w:before="0" w:beforeAutospacing="0" w:after="0" w:afterAutospacing="0" w:line="600" w:lineRule="exact"/>
        <w:jc w:val="center"/>
        <w:rPr>
          <w:rStyle w:val="10"/>
          <w:rFonts w:hint="eastAsia"/>
          <w:sz w:val="44"/>
          <w:szCs w:val="44"/>
        </w:rPr>
      </w:pPr>
      <w:r>
        <w:rPr>
          <w:rStyle w:val="10"/>
          <w:sz w:val="44"/>
          <w:szCs w:val="44"/>
        </w:rPr>
        <w:t>提</w:t>
      </w:r>
      <w:r>
        <w:rPr>
          <w:rStyle w:val="10"/>
          <w:rFonts w:hint="eastAsia"/>
          <w:sz w:val="44"/>
          <w:szCs w:val="44"/>
        </w:rPr>
        <w:t xml:space="preserve">   </w:t>
      </w:r>
      <w:r>
        <w:rPr>
          <w:rStyle w:val="10"/>
          <w:sz w:val="44"/>
          <w:szCs w:val="44"/>
        </w:rPr>
        <w:t>案</w:t>
      </w:r>
    </w:p>
    <w:p>
      <w:pPr>
        <w:spacing w:line="320" w:lineRule="exact"/>
        <w:jc w:val="center"/>
        <w:textAlignment w:val="top"/>
        <w:rPr>
          <w:rStyle w:val="10"/>
          <w:rFonts w:hint="eastAsia" w:ascii="宋体" w:hAnsi="宋体"/>
          <w:kern w:val="0"/>
          <w:sz w:val="24"/>
        </w:rPr>
      </w:pPr>
    </w:p>
    <w:p>
      <w:pPr>
        <w:spacing w:line="320" w:lineRule="exact"/>
        <w:jc w:val="center"/>
        <w:textAlignment w:val="top"/>
        <w:rPr>
          <w:rStyle w:val="10"/>
          <w:rFonts w:hint="eastAsia" w:ascii="宋体" w:hAnsi="宋体"/>
          <w:kern w:val="0"/>
          <w:sz w:val="24"/>
        </w:rPr>
      </w:pPr>
    </w:p>
    <w:p>
      <w:pPr>
        <w:spacing w:line="760" w:lineRule="exact"/>
        <w:jc w:val="both"/>
        <w:textAlignment w:val="top"/>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0"/>
          <w:rFonts w:hint="default" w:ascii="宋体" w:hAnsi="宋体" w:eastAsia="宋体"/>
          <w:kern w:val="0"/>
          <w:sz w:val="24"/>
          <w:lang w:val="en-US" w:eastAsia="zh-CN"/>
        </w:rPr>
      </w:pPr>
      <w:r>
        <w:rPr>
          <w:rStyle w:val="10"/>
          <w:rFonts w:ascii="宋体" w:hAnsi="宋体"/>
          <w:kern w:val="0"/>
          <w:sz w:val="24"/>
        </w:rPr>
        <w:t>第十</w:t>
      </w:r>
      <w:r>
        <w:rPr>
          <w:rStyle w:val="10"/>
          <w:rFonts w:hint="eastAsia" w:ascii="宋体" w:hAnsi="宋体"/>
          <w:kern w:val="0"/>
          <w:sz w:val="24"/>
          <w:lang w:val="en-US" w:eastAsia="zh-CN"/>
        </w:rPr>
        <w:t>三</w:t>
      </w:r>
      <w:r>
        <w:rPr>
          <w:rStyle w:val="10"/>
          <w:rFonts w:ascii="宋体" w:hAnsi="宋体"/>
          <w:kern w:val="0"/>
          <w:sz w:val="24"/>
        </w:rPr>
        <w:t>届第</w:t>
      </w:r>
      <w:r>
        <w:rPr>
          <w:rStyle w:val="10"/>
          <w:rFonts w:hint="eastAsia" w:ascii="宋体" w:hAnsi="宋体"/>
          <w:kern w:val="0"/>
          <w:sz w:val="24"/>
          <w:lang w:val="en-US" w:eastAsia="zh-CN"/>
        </w:rPr>
        <w:t>一</w:t>
      </w:r>
      <w:r>
        <w:rPr>
          <w:rStyle w:val="10"/>
          <w:rFonts w:ascii="宋体" w:hAnsi="宋体"/>
          <w:kern w:val="0"/>
          <w:sz w:val="24"/>
        </w:rPr>
        <w:t>次会议　       　第</w:t>
      </w:r>
      <w:r>
        <w:rPr>
          <w:rStyle w:val="10"/>
          <w:rFonts w:hint="eastAsia" w:ascii="宋体" w:hAnsi="宋体"/>
          <w:kern w:val="0"/>
          <w:sz w:val="24"/>
          <w:lang w:val="en-US" w:eastAsia="zh-CN"/>
        </w:rPr>
        <w:t>150</w:t>
      </w:r>
      <w:r>
        <w:rPr>
          <w:rStyle w:val="10"/>
          <w:rFonts w:ascii="宋体" w:hAnsi="宋体"/>
          <w:kern w:val="0"/>
          <w:sz w:val="24"/>
        </w:rPr>
        <w:t xml:space="preserve">号　    </w:t>
      </w:r>
      <w:r>
        <w:rPr>
          <w:rStyle w:val="10"/>
          <w:rFonts w:hint="eastAsia" w:ascii="宋体" w:hAnsi="宋体"/>
          <w:kern w:val="0"/>
          <w:sz w:val="24"/>
        </w:rPr>
        <w:t xml:space="preserve">    </w:t>
      </w:r>
      <w:r>
        <w:rPr>
          <w:rStyle w:val="10"/>
          <w:rFonts w:hint="eastAsia" w:ascii="宋体" w:hAnsi="宋体"/>
          <w:kern w:val="0"/>
          <w:sz w:val="24"/>
          <w:lang w:val="en-US" w:eastAsia="zh-CN"/>
        </w:rPr>
        <w:t xml:space="preserve"> 类别：文化建设类     </w:t>
      </w:r>
    </w:p>
    <w:p>
      <w:pPr>
        <w:spacing w:line="320" w:lineRule="exact"/>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案</w:t>
            </w:r>
            <w:r>
              <w:rPr>
                <w:rStyle w:val="10"/>
                <w:rFonts w:ascii="宋体" w:hAnsi="宋体" w:eastAsia="黑体" w:cs="宋体"/>
                <w:b/>
                <w:bCs/>
                <w:kern w:val="0"/>
                <w:sz w:val="24"/>
              </w:rPr>
              <w:t>  </w:t>
            </w:r>
            <w:r>
              <w:rPr>
                <w:rStyle w:val="10"/>
                <w:rFonts w:ascii="黑体" w:hAnsi="宋体" w:eastAsia="黑体" w:cs="宋体"/>
                <w:b/>
                <w:bCs/>
                <w:kern w:val="0"/>
                <w:sz w:val="24"/>
              </w:rPr>
              <w:t>由</w:t>
            </w:r>
            <w:r>
              <w:rPr>
                <w:rStyle w:val="10"/>
                <w:rFonts w:ascii="宋体" w:hAnsi="宋体" w:cs="宋体"/>
                <w:b/>
                <w:bCs/>
                <w:kern w:val="0"/>
                <w:sz w:val="24"/>
              </w:rPr>
              <w:t>：</w:t>
            </w:r>
          </w:p>
        </w:tc>
        <w:tc>
          <w:tcPr>
            <w:tcW w:w="6797" w:type="dxa"/>
            <w:gridSpan w:val="3"/>
            <w:vAlign w:val="center"/>
          </w:tcPr>
          <w:p>
            <w:pPr>
              <w:jc w:val="left"/>
              <w:rPr>
                <w:rStyle w:val="10"/>
                <w:rFonts w:ascii="宋体" w:hAnsi="宋体" w:cs="宋体"/>
                <w:b/>
                <w:bCs/>
                <w:kern w:val="0"/>
                <w:sz w:val="24"/>
              </w:rPr>
            </w:pPr>
            <w:r>
              <w:rPr>
                <w:rStyle w:val="10"/>
                <w:rFonts w:hint="eastAsia" w:ascii="宋体" w:hAnsi="宋体" w:cs="宋体"/>
                <w:b/>
                <w:bCs/>
                <w:kern w:val="0"/>
                <w:sz w:val="24"/>
              </w:rPr>
              <w:t>关于非物质文化遗产传承保护和开发利用的建议</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审查意见</w:t>
            </w:r>
            <w:r>
              <w:rPr>
                <w:rStyle w:val="10"/>
                <w:rFonts w:ascii="宋体" w:hAnsi="宋体" w:cs="宋体"/>
                <w:b/>
                <w:bCs/>
                <w:kern w:val="0"/>
                <w:sz w:val="24"/>
              </w:rPr>
              <w:t>：</w:t>
            </w:r>
          </w:p>
        </w:tc>
        <w:tc>
          <w:tcPr>
            <w:tcW w:w="6797" w:type="dxa"/>
            <w:gridSpan w:val="3"/>
            <w:vAlign w:val="center"/>
          </w:tcPr>
          <w:p>
            <w:pPr>
              <w:jc w:val="left"/>
              <w:rPr>
                <w:rStyle w:val="10"/>
                <w:rFonts w:hint="default" w:ascii="宋体" w:hAnsi="宋体" w:eastAsia="宋体"/>
                <w:kern w:val="0"/>
                <w:sz w:val="24"/>
                <w:lang w:val="en-US" w:eastAsia="zh-CN"/>
              </w:rPr>
            </w:pPr>
            <w:r>
              <w:rPr>
                <w:rStyle w:val="10"/>
                <w:rFonts w:hint="eastAsia" w:ascii="宋体" w:hAnsi="宋体"/>
                <w:kern w:val="0"/>
                <w:sz w:val="24"/>
                <w:lang w:eastAsia="zh-CN"/>
              </w:rPr>
              <w:t>主办：</w:t>
            </w:r>
            <w:r>
              <w:rPr>
                <w:rStyle w:val="10"/>
                <w:rFonts w:hint="eastAsia" w:ascii="宋体" w:hAnsi="宋体"/>
                <w:kern w:val="0"/>
                <w:sz w:val="24"/>
                <w:lang w:val="en-US" w:eastAsia="zh-CN"/>
              </w:rPr>
              <w:t>州文体广电旅游局 会办：州教育局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0"/>
                <w:rFonts w:ascii="黑体" w:hAnsi="宋体" w:eastAsia="黑体"/>
                <w:kern w:val="0"/>
                <w:sz w:val="24"/>
              </w:rPr>
            </w:pPr>
            <w:r>
              <w:rPr>
                <w:rStyle w:val="10"/>
                <w:rFonts w:ascii="黑体" w:hAnsi="宋体" w:eastAsia="黑体" w:cs="宋体"/>
                <w:b/>
                <w:bCs/>
                <w:kern w:val="0"/>
                <w:sz w:val="24"/>
              </w:rPr>
              <w:t>提</w:t>
            </w:r>
            <w:r>
              <w:rPr>
                <w:rStyle w:val="10"/>
                <w:rFonts w:ascii="宋体" w:hAnsi="宋体" w:eastAsia="黑体" w:cs="宋体"/>
                <w:b/>
                <w:bCs/>
                <w:kern w:val="0"/>
                <w:sz w:val="24"/>
              </w:rPr>
              <w:t> </w:t>
            </w:r>
            <w:r>
              <w:rPr>
                <w:rStyle w:val="10"/>
                <w:rFonts w:ascii="黑体" w:hAnsi="宋体" w:eastAsia="黑体" w:cs="宋体"/>
                <w:b/>
                <w:bCs/>
                <w:kern w:val="0"/>
                <w:sz w:val="24"/>
              </w:rPr>
              <w:t>案人</w:t>
            </w:r>
            <w:r>
              <w:rPr>
                <w:rStyle w:val="10"/>
                <w:rFonts w:ascii="宋体" w:hAnsi="宋体" w:eastAsia="黑体" w:cs="宋体"/>
                <w:b/>
                <w:bCs/>
                <w:kern w:val="0"/>
                <w:sz w:val="24"/>
              </w:rPr>
              <w:t>：</w:t>
            </w:r>
          </w:p>
        </w:tc>
        <w:tc>
          <w:tcPr>
            <w:tcW w:w="3872" w:type="dxa"/>
            <w:vAlign w:val="center"/>
          </w:tcPr>
          <w:p>
            <w:pPr>
              <w:jc w:val="left"/>
              <w:rPr>
                <w:rStyle w:val="10"/>
                <w:rFonts w:ascii="宋体" w:hAnsi="宋体"/>
                <w:kern w:val="0"/>
                <w:sz w:val="24"/>
              </w:rPr>
            </w:pPr>
            <w:r>
              <w:rPr>
                <w:rStyle w:val="10"/>
                <w:rFonts w:ascii="宋体" w:hAnsi="宋体" w:cs="宋体"/>
                <w:b/>
                <w:bCs/>
                <w:kern w:val="0"/>
                <w:sz w:val="24"/>
                <w:highlight w:val="none"/>
              </w:rPr>
              <w:t>通讯地址</w:t>
            </w:r>
          </w:p>
        </w:tc>
        <w:tc>
          <w:tcPr>
            <w:tcW w:w="1440" w:type="dxa"/>
            <w:vAlign w:val="center"/>
          </w:tcPr>
          <w:p>
            <w:pPr>
              <w:jc w:val="left"/>
              <w:rPr>
                <w:rStyle w:val="10"/>
                <w:rFonts w:ascii="宋体" w:hAnsi="宋体"/>
                <w:kern w:val="0"/>
                <w:sz w:val="24"/>
              </w:rPr>
            </w:pPr>
            <w:r>
              <w:rPr>
                <w:rStyle w:val="10"/>
                <w:rFonts w:ascii="宋体" w:hAnsi="宋体" w:cs="宋体"/>
                <w:b/>
                <w:bCs/>
                <w:kern w:val="0"/>
                <w:sz w:val="24"/>
              </w:rPr>
              <w:t>邮政编码</w:t>
            </w:r>
          </w:p>
        </w:tc>
        <w:tc>
          <w:tcPr>
            <w:tcW w:w="1485" w:type="dxa"/>
            <w:vAlign w:val="center"/>
          </w:tcPr>
          <w:p>
            <w:pPr>
              <w:jc w:val="left"/>
              <w:rPr>
                <w:rStyle w:val="10"/>
                <w:rFonts w:ascii="宋体" w:hAnsi="宋体"/>
                <w:kern w:val="0"/>
                <w:sz w:val="24"/>
              </w:rPr>
            </w:pPr>
            <w:r>
              <w:rPr>
                <w:rStyle w:val="10"/>
                <w:rFonts w:ascii="宋体" w:hAnsi="宋体" w:cs="宋体"/>
                <w:b/>
                <w:bCs/>
                <w:kern w:val="0"/>
                <w:sz w:val="24"/>
              </w:rPr>
              <w:t>联系电话</w:t>
            </w:r>
          </w:p>
        </w:tc>
      </w:tr>
      <w:tr>
        <w:tc>
          <w:tcPr>
            <w:tcW w:w="1753" w:type="dxa"/>
            <w:vAlign w:val="center"/>
          </w:tcPr>
          <w:p>
            <w:pPr>
              <w:jc w:val="left"/>
              <w:rPr>
                <w:rStyle w:val="10"/>
                <w:rFonts w:ascii="宋体" w:hAnsi="宋体"/>
                <w:kern w:val="0"/>
                <w:sz w:val="24"/>
              </w:rPr>
            </w:pPr>
            <w:r>
              <w:rPr>
                <w:rStyle w:val="10"/>
                <w:rFonts w:hint="eastAsia" w:ascii="宋体" w:hAnsi="宋体"/>
                <w:kern w:val="0"/>
                <w:sz w:val="24"/>
              </w:rPr>
              <w:t>赵龙玉</w:t>
            </w:r>
          </w:p>
        </w:tc>
        <w:tc>
          <w:tcPr>
            <w:tcW w:w="3872" w:type="dxa"/>
            <w:vAlign w:val="center"/>
          </w:tcPr>
          <w:p>
            <w:pPr>
              <w:widowControl/>
              <w:jc w:val="left"/>
              <w:rPr>
                <w:rStyle w:val="10"/>
                <w:rFonts w:hint="eastAsia" w:ascii="宋体" w:hAnsi="宋体" w:eastAsia="宋体"/>
                <w:kern w:val="0"/>
                <w:sz w:val="24"/>
                <w:lang w:val="en-US" w:eastAsia="zh-CN"/>
              </w:rPr>
            </w:pPr>
            <w:r>
              <w:rPr>
                <w:rStyle w:val="10"/>
                <w:rFonts w:hint="eastAsia" w:ascii="宋体" w:hAnsi="宋体" w:eastAsia="宋体"/>
                <w:kern w:val="0"/>
                <w:sz w:val="24"/>
                <w:lang w:val="en-US" w:eastAsia="zh-CN"/>
              </w:rPr>
              <w:t>麻江县委宣传部</w:t>
            </w:r>
          </w:p>
        </w:tc>
        <w:tc>
          <w:tcPr>
            <w:tcW w:w="1440" w:type="dxa"/>
            <w:vAlign w:val="center"/>
          </w:tcPr>
          <w:p>
            <w:pPr>
              <w:widowControl/>
              <w:jc w:val="left"/>
              <w:rPr>
                <w:rStyle w:val="10"/>
                <w:rFonts w:hint="default" w:ascii="宋体" w:hAnsi="宋体" w:eastAsia="宋体"/>
                <w:kern w:val="0"/>
                <w:sz w:val="24"/>
                <w:lang w:val="en-US" w:eastAsia="zh-CN"/>
              </w:rPr>
            </w:pPr>
            <w:r>
              <w:rPr>
                <w:rFonts w:hint="default" w:ascii="Times New Roman" w:hAnsi="Times New Roman" w:cs="Times New Roman"/>
                <w:kern w:val="0"/>
                <w:sz w:val="24"/>
              </w:rPr>
              <w:t xml:space="preserve"> 557</w:t>
            </w:r>
            <w:r>
              <w:rPr>
                <w:rFonts w:hint="eastAsia" w:cs="Times New Roman"/>
                <w:kern w:val="0"/>
                <w:sz w:val="24"/>
                <w:lang w:val="en-US" w:eastAsia="zh-CN"/>
              </w:rPr>
              <w:t>6</w:t>
            </w:r>
            <w:r>
              <w:rPr>
                <w:rFonts w:hint="default" w:ascii="Times New Roman" w:hAnsi="Times New Roman" w:cs="Times New Roman"/>
                <w:kern w:val="0"/>
                <w:sz w:val="24"/>
              </w:rPr>
              <w:t>00</w:t>
            </w:r>
          </w:p>
        </w:tc>
        <w:tc>
          <w:tcPr>
            <w:tcW w:w="1485" w:type="dxa"/>
            <w:vAlign w:val="center"/>
          </w:tcPr>
          <w:p>
            <w:pPr>
              <w:widowControl/>
              <w:jc w:val="left"/>
              <w:rPr>
                <w:rStyle w:val="10"/>
                <w:rFonts w:hint="default" w:ascii="宋体" w:hAnsi="宋体" w:eastAsia="宋体"/>
                <w:kern w:val="0"/>
                <w:sz w:val="24"/>
                <w:lang w:val="en-US" w:eastAsia="zh-CN"/>
              </w:rPr>
            </w:pPr>
            <w:r>
              <w:rPr>
                <w:rStyle w:val="10"/>
                <w:rFonts w:hint="default" w:ascii="宋体" w:hAnsi="宋体" w:eastAsia="宋体"/>
                <w:kern w:val="0"/>
                <w:sz w:val="24"/>
                <w:lang w:val="en-US" w:eastAsia="zh-CN"/>
              </w:rPr>
              <w:t>13312429665</w:t>
            </w:r>
          </w:p>
        </w:tc>
      </w:tr>
      <w:tr>
        <w:tblPrEx>
          <w:tblCellMar>
            <w:top w:w="0" w:type="dxa"/>
            <w:left w:w="15" w:type="dxa"/>
            <w:bottom w:w="0" w:type="dxa"/>
            <w:right w:w="15" w:type="dxa"/>
          </w:tblCellMar>
        </w:tblPrEx>
        <w:tc>
          <w:tcPr>
            <w:tcW w:w="1753" w:type="dxa"/>
            <w:vAlign w:val="center"/>
          </w:tcPr>
          <w:p>
            <w:pPr>
              <w:jc w:val="left"/>
              <w:rPr>
                <w:rStyle w:val="10"/>
                <w:rFonts w:hint="eastAsia" w:ascii="宋体" w:hAnsi="宋体" w:eastAsia="宋体"/>
                <w:kern w:val="0"/>
                <w:sz w:val="24"/>
                <w:lang w:eastAsia="zh-CN"/>
              </w:rPr>
            </w:pPr>
            <w:r>
              <w:rPr>
                <w:rStyle w:val="10"/>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0"/>
                <w:rFonts w:hint="eastAsia" w:ascii="宋体" w:hAnsi="宋体"/>
                <w:kern w:val="0"/>
                <w:sz w:val="24"/>
                <w:lang w:val="en-US" w:eastAsia="zh-CN"/>
              </w:rPr>
            </w:pPr>
            <w:r>
              <w:rPr>
                <w:rStyle w:val="10"/>
                <w:rFonts w:hint="eastAsia" w:ascii="宋体" w:hAnsi="宋体"/>
                <w:kern w:val="0"/>
                <w:sz w:val="24"/>
                <w:lang w:eastAsia="zh-CN"/>
              </w:rPr>
              <w:t>州委办秘书五科：</w:t>
            </w:r>
            <w:r>
              <w:rPr>
                <w:rStyle w:val="10"/>
                <w:rFonts w:hint="eastAsia" w:ascii="宋体" w:hAnsi="宋体"/>
                <w:kern w:val="0"/>
                <w:sz w:val="24"/>
                <w:lang w:val="en-US" w:eastAsia="zh-CN"/>
              </w:rPr>
              <w:t>8270060；</w:t>
            </w:r>
            <w:r>
              <w:rPr>
                <w:rStyle w:val="10"/>
                <w:rFonts w:hint="eastAsia" w:ascii="宋体" w:hAnsi="宋体"/>
                <w:kern w:val="0"/>
                <w:sz w:val="24"/>
                <w:lang w:eastAsia="zh-CN"/>
              </w:rPr>
              <w:t>州政府办建议提案科：</w:t>
            </w:r>
            <w:r>
              <w:rPr>
                <w:rStyle w:val="10"/>
                <w:rFonts w:hint="eastAsia" w:ascii="宋体" w:hAnsi="宋体"/>
                <w:kern w:val="0"/>
                <w:sz w:val="24"/>
                <w:lang w:val="en-US" w:eastAsia="zh-CN"/>
              </w:rPr>
              <w:t>8260016；</w:t>
            </w:r>
          </w:p>
          <w:p>
            <w:pPr>
              <w:jc w:val="left"/>
              <w:rPr>
                <w:rStyle w:val="10"/>
                <w:rFonts w:hint="default" w:ascii="宋体" w:hAnsi="宋体"/>
                <w:kern w:val="0"/>
                <w:sz w:val="24"/>
                <w:lang w:val="en-US"/>
              </w:rPr>
            </w:pPr>
            <w:r>
              <w:rPr>
                <w:rStyle w:val="10"/>
                <w:rFonts w:hint="eastAsia" w:ascii="宋体" w:hAnsi="宋体"/>
                <w:kern w:val="0"/>
                <w:sz w:val="24"/>
                <w:lang w:eastAsia="zh-CN"/>
              </w:rPr>
              <w:t>州政协提案委：</w:t>
            </w:r>
            <w:r>
              <w:rPr>
                <w:rStyle w:val="10"/>
                <w:rFonts w:hint="eastAsia" w:ascii="宋体" w:hAnsi="宋体"/>
                <w:kern w:val="0"/>
                <w:sz w:val="24"/>
                <w:lang w:val="en-US" w:eastAsia="zh-CN"/>
              </w:rPr>
              <w:t>8428866</w:t>
            </w:r>
            <w:r>
              <w:rPr>
                <w:rStyle w:val="10"/>
                <w:rFonts w:hint="eastAsia" w:ascii="宋体" w:hAnsi="宋体"/>
                <w:kern w:val="0"/>
                <w:sz w:val="24"/>
                <w:lang w:eastAsia="zh-CN"/>
              </w:rPr>
              <w:t>。</w:t>
            </w:r>
          </w:p>
        </w:tc>
      </w:tr>
    </w:tbl>
    <w:p>
      <w:pPr>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0"/>
          <w:rFonts w:hint="eastAsia" w:ascii="仿宋_GB2312" w:hAnsi="宋体" w:eastAsia="仿宋_GB2312"/>
          <w:kern w:val="0"/>
          <w:sz w:val="32"/>
          <w:szCs w:val="32"/>
        </w:rPr>
      </w:pPr>
      <w:r>
        <w:rPr>
          <w:rStyle w:val="10"/>
          <w:rFonts w:hint="eastAsia" w:ascii="仿宋_GB2312" w:hAnsi="宋体" w:eastAsia="仿宋_GB2312"/>
          <w:kern w:val="0"/>
          <w:sz w:val="32"/>
          <w:szCs w:val="32"/>
        </w:rPr>
        <w:t>内容和办法</w:t>
      </w:r>
      <w:r>
        <w:rPr>
          <w:rStyle w:val="10"/>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黔东南州非物质文化遗产丰富多彩，享有“歌舞之州、森林之州、神奇之州、百节之乡、民间手工艺之乡、苗族侗族文化遗产保存核心地、民族文化生态博物馆”等诸多美誉。目前，实验区现有人类非遗代表作名录1项3处，国家级非遗56项78处，位居全国同级地州市前列，省级非遗218项307处，居全省第一，州级非遗329项417处，县（市）级非遗1590项；有非遗代表性传承人国家级48人、省级170人、州级294人、县市级4013人；有非遗产生产性保护示范基地国家级3处、省级23处、州级26处、县级119处，并公布认定94处州级非遗传习中心（展示馆、基地）、85处非遗保护传承教育示范基地；有全国重点文物保护单位20处、省级97处、州级54处、县级913处，国家文物局备案博物馆29家，珍贵馆藏文物629件（套），10个苗族村寨和12个侗族村寨列入“中国世界文化遗产预备名单”。</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近年来，州委、州政府高度重视非物质文化遗产传承保护和开发利用工作，仍还存在一些亟待解决的问题，主要表现在：一是宣传展示工作力度不够。“非遗”往往流传于某一地域或是掌握在某人手中，其内容、文化精髓、商品转化点需要大力宣传才能让外界知晓。当前，大部分县市“非遗”宣传仅局限于国家法定日开展“非遗周”展示。虽然目前我州相继建成了黔东南州民族博物馆非遗展示厅、凯里市非遗博物馆、雷山县郎德非遗博物馆及天柱县非遗展示馆等一批综合性非遗展示馆，但还有一大部分县级没有建设有集中展示非物质文化遗产的固定场馆，县级层面也没有将“非遗”进行内外强化宣传。对内，没有真正形成进校园、进社区、进农村的常态化宣传，难以激发青少年和广大群众参与传承“非遗”的积极性；对外，没有形成和开展“非遗”文化的专项宣传推介活动，在招商引资工作中造成“抱着金饭碗没饭吃”的自我埋没尴尬局面。二是“非遗”商品化、产业化研发力度不够。黔东南州“非遗”涵盖各民族的医药、饮食、服饰、音乐、美术、传说等内容，蕴藏着各民族数千年积累的民族智慧，是一个巨大的民族商品开发宝库。由于“非遗”千百年流传下来的各项技艺存在工艺比较繁琐，制作周期比较长、成本较高，与当今生活消费有不相适应的地方，“非遗”成品虽然深受外界的喜爱，但其价格却难以让大众所接受，难以打开市场。目前，部分县级还没有组织本土研发团队或相关学术团体开展“非遗”文创研究开发，未创新利用，部分非遗项目无法创造经济价值，导致“非遗”商品及市场转化点得不到开发和利用，造成“非遗”进入市场难。三是县级传承投入力度不够。抢救传统文化，早期应该得到各级政府大力支持和投入。黔东南州非遗资源相当丰富，项目点多面广，而州、县（市）两级财政比较困难，尤其在“十三五”期间集中物力、财力、人力打赢脱贫攻坚战，致使地方财政匹配资金与实际工作需要还有较大差距。目前，从国家到省、州，每年都有传承人工作经费下拨，其中国家级传承人每年每人2万元，省、州级传承人每年每人0.5万元，而占绝大多数的县级传承人没有传承工作经费补助，大大挫伤了他们的工作积极性，仅有少部分传承人凭兴趣爱好在传承非物质文化遗产，大多数迫于生计，都选择外出打工而放弃传承传统文化，面临人走“非遗”走的危机。</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为加大非物质文化遗产传承保护力度，加快非物质文化遗产利用与开发，推动文化与旅游产业高质量融合发展。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建立“非遗”文化宣传机制，做好内外宣传。在县级层面设立“非遗”宣传月机制，建设集作品收藏、展览、“非遗”体验、文创产品研发和培训为一体的“非遗”展示馆或陈列馆，集中展示“非遗”文化。对内，将非物质文化遗产内容贯穿国民教育始终，在中小学开设非物质文化遗产特色课程，鼓励建设国家级非物质文化遗产代表性项目特色中小学传承基地，激发青少年和广大群众参与传承“非遗”的积极性。对外，组织开展我州各县市“非遗”文化的专项宣传推介活动，为我州非遗文化提供宣传平台，大胆将我州各县市“非遗”推介到经济发达地区，吸引客商投资“非遗”产业。</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组建“非遗”文创产品研发团队，做好开发利用。随着实验区保护工作的深入开展，对充实基层非遗保护工作队伍尤为重要。目前，我州县级非物质文化遗产保护中心工作人员紧缺，他们只能开展日常保护和管理工作，并不具备开发利用专业能力，加之我州传承人大多文化水平不高，只能按照传统做法来生产，不被市场接受。因此，应该针对我州实际情况，建议建立实验区建设管理专家咨询库，加大文化生态保护理论研究，深入解决非遗保护与利用的复杂关系，联合外商或高校组建研发团队，从设计到生产和外销，对传承人进行培训，生产出让外界喜爱、实用且价格适合的“非遗”衍生产品，让老百姓在传承中得到实惠。</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建立“非遗”文化传承激励机制，做好“非遗”传承。按照2021年8月中共中央办公厅、国务院办公厅印发《关于进一步加强非物质文化遗产保护工作的意见》的通知，“县级以上政府要依法把非物质文化遗产保护经费列入本级预算”的要求，建议在利用好上级传承资金做好“非遗”传承工作的同时，制定出台地方非遗保护专项资金管理办法和政策措施，建立完善高效的地方财政投入机制，落实非物质文化遗产相关企业优惠政策，设立“非遗”传承奖励机制，对“非遗”传承、产品研发、推介等模范集集体和个人进行奖励，激励更多的能人志士投入到“非遗”文化的传承、保护、开发中来。</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在有效保护的前提下，推动非物质文化遗产与旅游融合高质量发展。深入挖掘乡村旅游消费潜力，融入地方非遗资源，支持利用非物质文化遗产资源发展乡村旅游等业态，以文塑旅、以旅彰文，相辅相成、相互促进，推出一批具有鲜明非物质文化遗产特色的主题旅游线路、民俗活动、非遗研学、旅游产品和演艺作品，支持非物质文化遗产有机融入景点景区、度假区，打造非物质文化遗产特色景区，借助旅游所带来的人脉和经济使我州民族文化得到更有效传承与发展，促进我州非物质文化遗产与旅游融合高质量发展。</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10"/>
          <w:rFonts w:hint="eastAsia" w:ascii="仿宋" w:hAnsi="仿宋" w:eastAsia="仿宋" w:cs="仿宋"/>
          <w:kern w:val="0"/>
          <w:sz w:val="32"/>
          <w:szCs w:val="32"/>
          <w:lang w:val="en-US" w:eastAsia="zh-CN"/>
        </w:rPr>
      </w:pPr>
      <w:r>
        <w:rPr>
          <w:rStyle w:val="10"/>
          <w:rFonts w:hint="eastAsia" w:ascii="黑体" w:hAnsi="黑体" w:eastAsia="黑体" w:cs="黑体"/>
          <w:b/>
          <w:bCs/>
          <w:kern w:val="0"/>
          <w:sz w:val="32"/>
          <w:szCs w:val="32"/>
          <w:lang w:val="en-US" w:eastAsia="zh-CN"/>
        </w:rPr>
        <w:t>注：</w:t>
      </w:r>
      <w:r>
        <w:rPr>
          <w:rStyle w:val="10"/>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0"/>
          <w:rFonts w:hint="default" w:ascii="仿宋" w:hAnsi="仿宋" w:eastAsia="仿宋" w:cs="仿宋"/>
          <w:kern w:val="0"/>
          <w:sz w:val="32"/>
          <w:szCs w:val="32"/>
          <w:lang w:val="en-US" w:eastAsia="zh-CN"/>
        </w:rPr>
      </w:pPr>
      <w:r>
        <w:rPr>
          <w:rStyle w:val="10"/>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3EC01EA"/>
    <w:rsid w:val="06503351"/>
    <w:rsid w:val="07D26AFC"/>
    <w:rsid w:val="085639B7"/>
    <w:rsid w:val="0CFE2127"/>
    <w:rsid w:val="10B40BCC"/>
    <w:rsid w:val="10F40BE4"/>
    <w:rsid w:val="118823F2"/>
    <w:rsid w:val="18EC1E64"/>
    <w:rsid w:val="1A917DD9"/>
    <w:rsid w:val="1BAB45FA"/>
    <w:rsid w:val="20790890"/>
    <w:rsid w:val="21EA0B57"/>
    <w:rsid w:val="255649A8"/>
    <w:rsid w:val="278B5D37"/>
    <w:rsid w:val="29EB237C"/>
    <w:rsid w:val="2FD84B80"/>
    <w:rsid w:val="30B878C9"/>
    <w:rsid w:val="33552650"/>
    <w:rsid w:val="377737A4"/>
    <w:rsid w:val="38D60616"/>
    <w:rsid w:val="38E6072A"/>
    <w:rsid w:val="3A7B4D73"/>
    <w:rsid w:val="3F1A5C90"/>
    <w:rsid w:val="42F10C9F"/>
    <w:rsid w:val="43953D03"/>
    <w:rsid w:val="470F7444"/>
    <w:rsid w:val="4A196944"/>
    <w:rsid w:val="4F6B5D70"/>
    <w:rsid w:val="507F065A"/>
    <w:rsid w:val="51B406C1"/>
    <w:rsid w:val="52263247"/>
    <w:rsid w:val="5236789E"/>
    <w:rsid w:val="559F1A55"/>
    <w:rsid w:val="58167D2D"/>
    <w:rsid w:val="5902530C"/>
    <w:rsid w:val="5A7C34BF"/>
    <w:rsid w:val="5AA17385"/>
    <w:rsid w:val="5B7C24C8"/>
    <w:rsid w:val="5C342431"/>
    <w:rsid w:val="5FDA608F"/>
    <w:rsid w:val="617E5CD0"/>
    <w:rsid w:val="61895CCF"/>
    <w:rsid w:val="61C325AD"/>
    <w:rsid w:val="62384D4B"/>
    <w:rsid w:val="64010D57"/>
    <w:rsid w:val="66F35DD9"/>
    <w:rsid w:val="6854075C"/>
    <w:rsid w:val="69A37ABB"/>
    <w:rsid w:val="6A9524E1"/>
    <w:rsid w:val="73746A5F"/>
    <w:rsid w:val="77DC05AA"/>
    <w:rsid w:val="7AF667DD"/>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pPr>
  </w:style>
  <w:style w:type="paragraph" w:styleId="3">
    <w:name w:val="footer"/>
    <w:basedOn w:val="1"/>
    <w:link w:val="20"/>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qFormat/>
    <w:uiPriority w:val="0"/>
    <w:rPr>
      <w:rFonts w:cs="Times New Roman"/>
      <w:b/>
      <w:bCs/>
    </w:rPr>
  </w:style>
  <w:style w:type="character" w:styleId="9">
    <w:name w:val="Hyperlink"/>
    <w:basedOn w:val="10"/>
    <w:semiHidden/>
    <w:qFormat/>
    <w:uiPriority w:val="0"/>
    <w:rPr>
      <w:color w:val="0000FF"/>
      <w:u w:val="single"/>
    </w:rPr>
  </w:style>
  <w:style w:type="character" w:customStyle="1" w:styleId="10">
    <w:name w:val="NormalCharacter"/>
    <w:semiHidden/>
    <w:qFormat/>
    <w:uiPriority w:val="0"/>
  </w:style>
  <w:style w:type="paragraph" w:customStyle="1" w:styleId="11">
    <w:name w:val="Heading1"/>
    <w:basedOn w:val="1"/>
    <w:link w:val="17"/>
    <w:qFormat/>
    <w:uiPriority w:val="0"/>
    <w:pPr>
      <w:spacing w:before="100" w:beforeAutospacing="1" w:after="100" w:afterAutospacing="1"/>
      <w:jc w:val="left"/>
    </w:pPr>
    <w:rPr>
      <w:rFonts w:ascii="宋体" w:hAnsi="宋体" w:cs="宋体"/>
      <w:b/>
      <w:bCs/>
      <w:kern w:val="36"/>
      <w:sz w:val="48"/>
      <w:szCs w:val="48"/>
    </w:rPr>
  </w:style>
  <w:style w:type="table" w:customStyle="1" w:styleId="12">
    <w:name w:val="TableNormal"/>
    <w:semiHidden/>
    <w:qFormat/>
    <w:uiPriority w:val="0"/>
    <w:tblPr>
      <w:tblCellMar>
        <w:top w:w="0" w:type="dxa"/>
        <w:left w:w="0" w:type="dxa"/>
        <w:bottom w:w="0" w:type="dxa"/>
        <w:right w:w="0" w:type="dxa"/>
      </w:tblCellMar>
    </w:tblPr>
  </w:style>
  <w:style w:type="paragraph" w:customStyle="1" w:styleId="13">
    <w:name w:val="Acetate"/>
    <w:basedOn w:val="1"/>
    <w:qFormat/>
    <w:uiPriority w:val="0"/>
    <w:rPr>
      <w:sz w:val="18"/>
      <w:szCs w:val="18"/>
    </w:rPr>
  </w:style>
  <w:style w:type="paragraph" w:customStyle="1" w:styleId="14">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5">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6">
    <w:name w:val="UserStyle_2"/>
    <w:basedOn w:val="1"/>
    <w:qFormat/>
    <w:uiPriority w:val="0"/>
    <w:pPr>
      <w:spacing w:before="100" w:beforeAutospacing="1" w:after="100" w:afterAutospacing="1"/>
      <w:jc w:val="left"/>
    </w:pPr>
    <w:rPr>
      <w:rFonts w:ascii="宋体" w:hAnsi="宋体"/>
      <w:kern w:val="0"/>
      <w:sz w:val="24"/>
    </w:rPr>
  </w:style>
  <w:style w:type="character" w:customStyle="1" w:styleId="17">
    <w:name w:val="UserStyle_3"/>
    <w:basedOn w:val="10"/>
    <w:link w:val="11"/>
    <w:qFormat/>
    <w:uiPriority w:val="0"/>
    <w:rPr>
      <w:rFonts w:ascii="宋体" w:hAnsi="宋体" w:cs="宋体"/>
      <w:b/>
      <w:bCs/>
      <w:kern w:val="36"/>
      <w:sz w:val="48"/>
      <w:szCs w:val="48"/>
    </w:rPr>
  </w:style>
  <w:style w:type="character" w:customStyle="1" w:styleId="18">
    <w:name w:val="UserStyle_4"/>
    <w:basedOn w:val="10"/>
    <w:qFormat/>
    <w:uiPriority w:val="0"/>
  </w:style>
  <w:style w:type="paragraph" w:customStyle="1" w:styleId="19">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0">
    <w:name w:val="页脚 Char"/>
    <w:basedOn w:val="7"/>
    <w:link w:val="3"/>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2630</Words>
  <Characters>2717</Characters>
  <Lines>14</Lines>
  <Paragraphs>4</Paragraphs>
  <TotalTime>1</TotalTime>
  <ScaleCrop>false</ScaleCrop>
  <LinksUpToDate>false</LinksUpToDate>
  <CharactersWithSpaces>2750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2022-01-05T04:05:00Z</cp:lastPrinted>
  <dcterms:modified xsi:type="dcterms:W3CDTF">2022-03-29T06:45:39Z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