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0" w:beforeAutospacing="0" w:after="0" w:afterAutospacing="0" w:line="600" w:lineRule="exact"/>
        <w:jc w:val="center"/>
        <w:rPr>
          <w:rStyle w:val="9"/>
          <w:rFonts w:ascii="黑体" w:eastAsia="黑体"/>
          <w:sz w:val="44"/>
          <w:szCs w:val="44"/>
        </w:rPr>
      </w:pPr>
      <w:r>
        <w:rPr>
          <w:rStyle w:val="7"/>
          <w:rFonts w:ascii="黑体" w:eastAsia="黑体" w:cs="宋体"/>
          <w:sz w:val="44"/>
          <w:szCs w:val="44"/>
        </w:rPr>
        <w:t>中国人民政治协商会议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黔东南苗族侗族自治州委员会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提</w:t>
      </w:r>
      <w:r>
        <w:rPr>
          <w:rStyle w:val="9"/>
          <w:rFonts w:hint="eastAsia"/>
          <w:sz w:val="44"/>
          <w:szCs w:val="44"/>
        </w:rPr>
        <w:t xml:space="preserve">   </w:t>
      </w:r>
      <w:r>
        <w:rPr>
          <w:rStyle w:val="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9"/>
          <w:rFonts w:ascii="宋体" w:hAnsi="宋体"/>
          <w:kern w:val="0"/>
          <w:sz w:val="24"/>
        </w:rPr>
        <w:t>第十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9"/>
          <w:rFonts w:ascii="宋体" w:hAnsi="宋体"/>
          <w:kern w:val="0"/>
          <w:sz w:val="24"/>
        </w:rPr>
        <w:t>届第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9"/>
          <w:rFonts w:ascii="宋体" w:hAnsi="宋体"/>
          <w:kern w:val="0"/>
          <w:sz w:val="24"/>
        </w:rPr>
        <w:t>次会议　       　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130</w:t>
      </w:r>
      <w:r>
        <w:rPr>
          <w:rStyle w:val="9"/>
          <w:rFonts w:ascii="宋体" w:hAnsi="宋体"/>
          <w:kern w:val="0"/>
          <w:sz w:val="24"/>
        </w:rPr>
        <w:t xml:space="preserve">号　    </w:t>
      </w:r>
      <w:r>
        <w:rPr>
          <w:rStyle w:val="9"/>
          <w:rFonts w:hint="eastAsia" w:ascii="宋体" w:hAnsi="宋体"/>
          <w:kern w:val="0"/>
          <w:sz w:val="24"/>
        </w:rPr>
        <w:t xml:space="preserve">    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宋体" w:hAnsi="宋体" w:cs="宋体" w:eastAsiaTheme="minorEastAsia"/>
                <w:b/>
                <w:bCs/>
                <w:kern w:val="0"/>
                <w:sz w:val="24"/>
              </w:rPr>
              <w:t>关于解决疫情防控形势下州内看守所律师会见难的建议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主办：州公安局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 xml:space="preserve">    会办：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黑体" w:hAnsi="宋体" w:eastAsia="黑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刘嘉懿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凯里市开怀街道金山大道中段州司法局普法科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13708554857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州委办综合科：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8262789；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新冠疫情爆发以来，每个时期的疫情防控的要求各不相同，影响波及各个行业。结合走访部分律师提供的工作信息，我州的律师在全州各县（市）看守所会见犯罪嫌疑人、被告人“难预约”、“难见面”是律师执业中“老大难”的问题，各县（市）看守所为执行不同时期的常态化疫情防控任务，执行着不同的律师会见政策，如48小时内核酸报告、7日内核酸报告、48小时内纸质核酸报告等，导致律师会见困难程度增加，使部分犯罪嫌疑人、被告人不能及时得到法律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黔东南实行刑事辩护全覆盖要求的形势下，受疫情影响，律师会见有进一步紧缩的趋势，在这种形势下既不能保障律师执业权益，也不能保障在押的犯罪嫌疑人、被告人的合法权利保障。随着2022年元旦春节即将来临，全国人员流动加大，同时叠加冬春季因素，疫情传播还是有相当的风险，为进一步保障律师执业权益，也保障在押人员的合法权益，在兼顾执行《刑事诉讼法》及相关法律的规定和常态化疫情防控的工作要求的同时，应该对当前看守所的会见制度进行必要的改进，特提出建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增加律师会见室、会见窗口。部分县（市）看守所针对律师开放的会见室有限，很多律师到达后不能及时安排会见，常常错过会见时间。如雷山县看守所、岑巩县看守所、三穗县看守所都仅有1间律师会见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二、适当延长开放会见时间。在不影响在押人员和警察正常作息的情况下合理安排会见时间，探索在下班时间安排开放会见或在休息日开放会见。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三、推行会见室、讯问室通用。律师会见拥堵时，可以开放看守所内闲置的讯问室让律师会见犯罪嫌疑人或被告人，从而提高工作效率，避免律师因无法会见而多跑一趟。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在全州范围内推行网上预约，避免律师会见排队现象。为提高律师会见效率，可以建立全州看守所会见网上预约系统，所有的执业律师通过网络提交委托手续和律师执业证件后，看守所在5个工作日内安排会见时间，律师按照看守所安排的时间到场会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五、建立快速会见通道。根据律师要求，如果会见内容比较简单，如签收法律文书等简单事项，会见时间低于30分钟的，可以安排快速通道，即看即走。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探索异地视频会见。在疫情防控形势严峻的情况下，为及时提供法律服务，可以参考视频会议、钉钉系统、微信视频等信息技术建立会见媒介，避免律师面对面接触犯罪嫌疑人、被告人，增加疫情防控的风险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9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10B40BCC"/>
    <w:rsid w:val="118823F2"/>
    <w:rsid w:val="18EC1E64"/>
    <w:rsid w:val="1BAB45FA"/>
    <w:rsid w:val="1C4738B3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61895CCF"/>
    <w:rsid w:val="66F35DD9"/>
    <w:rsid w:val="6854075C"/>
    <w:rsid w:val="69A37ABB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styleId="8">
    <w:name w:val="Hyperlink"/>
    <w:basedOn w:val="9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Heading1"/>
    <w:basedOn w:val="1"/>
    <w:link w:val="16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paragraph" w:customStyle="1" w:styleId="13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4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5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UserStyle_3"/>
    <w:basedOn w:val="9"/>
    <w:link w:val="10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UserStyle_4"/>
    <w:basedOn w:val="9"/>
    <w:qFormat/>
    <w:uiPriority w:val="0"/>
  </w:style>
  <w:style w:type="paragraph" w:customStyle="1" w:styleId="18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页脚 Char"/>
    <w:basedOn w:val="6"/>
    <w:link w:val="2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2022-01-06T03:23:56Z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0BEFFA9D6DA34548976C4312CA596319</vt:lpwstr>
  </property>
</Properties>
</file>