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167</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类别：经济建设类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关于黔东南州旅游民宿业发展的建议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主办：州文体广电旅游局</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rPr>
                <w:rFonts w:hint="eastAsia" w:eastAsia="宋体"/>
                <w:lang w:eastAsia="zh-CN"/>
              </w:rPr>
            </w:pPr>
            <w:r>
              <w:rPr>
                <w:rFonts w:hint="eastAsia"/>
              </w:rPr>
              <w:t>何长春</w:t>
            </w:r>
          </w:p>
        </w:tc>
        <w:tc>
          <w:tcPr>
            <w:tcW w:w="3872" w:type="dxa"/>
            <w:vAlign w:val="center"/>
          </w:tcPr>
          <w:p>
            <w:pPr>
              <w:jc w:val="left"/>
              <w:rPr>
                <w:rStyle w:val="11"/>
                <w:rFonts w:hint="eastAsia" w:ascii="宋体" w:hAnsi="宋体" w:eastAsia="宋体"/>
                <w:kern w:val="0"/>
                <w:sz w:val="24"/>
                <w:lang w:val="en-US" w:eastAsia="zh-CN"/>
              </w:rPr>
            </w:pPr>
            <w:r>
              <w:rPr>
                <w:rFonts w:hint="eastAsia"/>
              </w:rPr>
              <w:t>镇远县周大街循美.河畔酒店</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557700</w:t>
            </w:r>
          </w:p>
        </w:tc>
        <w:tc>
          <w:tcPr>
            <w:tcW w:w="1485" w:type="dxa"/>
            <w:vAlign w:val="center"/>
          </w:tcPr>
          <w:p>
            <w:pPr>
              <w:jc w:val="left"/>
              <w:rPr>
                <w:rFonts w:hint="default"/>
                <w:lang w:val="en-US" w:eastAsia="zh-CN"/>
              </w:rPr>
            </w:pPr>
            <w:r>
              <w:rPr>
                <w:rFonts w:hint="eastAsia"/>
              </w:rPr>
              <w:t>18585188978</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bookmarkStart w:id="0" w:name="_GoBack"/>
      <w:bookmarkEnd w:id="0"/>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最近几年，旅游行业逐渐升温，传统大众观光旅游产品越发满足不了人们日益增长旅游需求。黔东南州被</w:t>
      </w:r>
      <w:r>
        <w:rPr>
          <w:rFonts w:hint="eastAsia" w:ascii="仿宋_GB2312" w:eastAsia="仿宋_GB2312"/>
          <w:sz w:val="32"/>
          <w:szCs w:val="32"/>
          <w:lang w:eastAsia="zh-CN"/>
        </w:rPr>
        <w:t>联合国教科文</w:t>
      </w:r>
      <w:r>
        <w:rPr>
          <w:rFonts w:hint="eastAsia" w:ascii="仿宋_GB2312" w:eastAsia="仿宋_GB2312"/>
          <w:sz w:val="32"/>
          <w:szCs w:val="32"/>
        </w:rPr>
        <w:t>组织列为“</w:t>
      </w:r>
      <w:r>
        <w:rPr>
          <w:rFonts w:hint="eastAsia" w:ascii="仿宋_GB2312" w:eastAsia="仿宋_GB2312"/>
          <w:sz w:val="32"/>
          <w:szCs w:val="32"/>
          <w:lang w:eastAsia="zh-CN"/>
        </w:rPr>
        <w:t>返璞归真</w:t>
      </w:r>
      <w:r>
        <w:rPr>
          <w:rFonts w:hint="eastAsia" w:ascii="仿宋_GB2312" w:eastAsia="仿宋_GB2312"/>
          <w:sz w:val="32"/>
          <w:szCs w:val="32"/>
        </w:rPr>
        <w:t>、回归自然”全球十大</w:t>
      </w:r>
      <w:r>
        <w:rPr>
          <w:rFonts w:hint="eastAsia" w:ascii="仿宋_GB2312" w:eastAsia="仿宋_GB2312"/>
          <w:sz w:val="32"/>
          <w:szCs w:val="32"/>
          <w:lang w:eastAsia="zh-CN"/>
        </w:rPr>
        <w:t>旅游胜地</w:t>
      </w:r>
      <w:r>
        <w:rPr>
          <w:rFonts w:hint="eastAsia" w:ascii="仿宋_GB2312" w:eastAsia="仿宋_GB2312"/>
          <w:sz w:val="32"/>
          <w:szCs w:val="32"/>
        </w:rPr>
        <w:t>之一。2900多条河流水质基本达到一二类标准，城市空气质量优良天数比例高达99%。这里是放松身心、体验乡愁的绝佳场所，被世界乡土文化基金会列为18 个原生态民族文化保护圈之一，在黔东南蕴藏着一大批精品民宿。</w:t>
      </w:r>
    </w:p>
    <w:p>
      <w:pPr>
        <w:pStyle w:val="6"/>
        <w:widowControl/>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一、黔东南州民宿现状</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w:t>
      </w:r>
      <w:r>
        <w:rPr>
          <w:rFonts w:hint="eastAsia" w:ascii="楷体" w:hAnsi="楷体" w:eastAsia="楷体" w:cs="楷体"/>
          <w:sz w:val="32"/>
          <w:szCs w:val="32"/>
        </w:rPr>
        <w:t>地方特色浓厚</w:t>
      </w:r>
      <w:r>
        <w:rPr>
          <w:rFonts w:hint="eastAsia" w:ascii="楷体" w:hAnsi="楷体" w:eastAsia="楷体" w:cs="楷体"/>
          <w:sz w:val="32"/>
          <w:szCs w:val="32"/>
          <w:lang w:eastAsia="zh-CN"/>
        </w:rPr>
        <w:t>。</w:t>
      </w:r>
      <w:r>
        <w:rPr>
          <w:rFonts w:hint="eastAsia" w:ascii="仿宋_GB2312" w:eastAsia="仿宋_GB2312"/>
          <w:sz w:val="32"/>
          <w:szCs w:val="32"/>
        </w:rPr>
        <w:t>民宿抓住人心的重要一点便是其相比起酒店、宾馆更具有人情味，主要体现在融入当地风土人情元素，满足游客深度游的需求，在室内装修上也凸显当地特色。以西江千户苗寨的民宿设计为例，建筑风格保留了苗族吊脚楼、美人靠，同时其室内以原木加民族蜡染工艺、民族服饰等，体现民族主题，让游客有更多机会接近、了解、体验并传播当地的活动和习俗。</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楷体" w:hAnsi="楷体" w:eastAsia="楷体" w:cs="楷体"/>
          <w:sz w:val="32"/>
          <w:szCs w:val="32"/>
        </w:rPr>
        <w:t>2</w:t>
      </w:r>
      <w:r>
        <w:rPr>
          <w:rFonts w:hint="eastAsia" w:ascii="楷体" w:hAnsi="楷体" w:eastAsia="楷体" w:cs="楷体"/>
          <w:sz w:val="32"/>
          <w:szCs w:val="32"/>
          <w:lang w:val="en-US" w:eastAsia="zh-CN"/>
        </w:rPr>
        <w:t>.</w:t>
      </w:r>
      <w:r>
        <w:rPr>
          <w:rFonts w:hint="eastAsia" w:ascii="楷体" w:hAnsi="楷体" w:eastAsia="楷体" w:cs="楷体"/>
          <w:sz w:val="32"/>
          <w:szCs w:val="32"/>
        </w:rPr>
        <w:t>倡导人与自然</w:t>
      </w:r>
      <w:r>
        <w:rPr>
          <w:rFonts w:hint="eastAsia" w:ascii="楷体" w:hAnsi="楷体" w:eastAsia="楷体" w:cs="楷体"/>
          <w:sz w:val="32"/>
          <w:szCs w:val="32"/>
          <w:lang w:eastAsia="zh-CN"/>
        </w:rPr>
        <w:t>。</w:t>
      </w:r>
      <w:r>
        <w:rPr>
          <w:rFonts w:hint="eastAsia" w:ascii="仿宋_GB2312" w:eastAsia="仿宋_GB2312"/>
          <w:sz w:val="32"/>
          <w:szCs w:val="32"/>
        </w:rPr>
        <w:t>黔东南州大多数的民宿是依托于景区、乡村、自然风光建立起来的，因此如果想要得到更好的发展，在很大程度下需要依赖景区流量、乡村优美的生态环境，二者之间相辅相成、相互促进。以雷山白岩村牧云涧民宿为例，整个设计突出了村落古朴的气息，游客在此可以感受到大自然的优美。设计师将原有的墙体以大面积的落地玻璃窗取而代之，打破空间的拘束感，大自然的美景直接呈现在游客眼前。</w:t>
      </w:r>
    </w:p>
    <w:p>
      <w:pPr>
        <w:pStyle w:val="6"/>
        <w:widowControl/>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楷体" w:hAnsi="楷体" w:eastAsia="楷体" w:cs="楷体"/>
          <w:sz w:val="32"/>
          <w:szCs w:val="32"/>
        </w:rPr>
        <w:t>3</w:t>
      </w:r>
      <w:r>
        <w:rPr>
          <w:rFonts w:hint="eastAsia" w:ascii="楷体" w:hAnsi="楷体" w:eastAsia="楷体" w:cs="楷体"/>
          <w:sz w:val="32"/>
          <w:szCs w:val="32"/>
          <w:lang w:val="en-US" w:eastAsia="zh-CN"/>
        </w:rPr>
        <w:t>.</w:t>
      </w:r>
      <w:r>
        <w:rPr>
          <w:rFonts w:hint="eastAsia" w:ascii="楷体" w:hAnsi="楷体" w:eastAsia="楷体" w:cs="楷体"/>
          <w:sz w:val="32"/>
          <w:szCs w:val="32"/>
        </w:rPr>
        <w:t>相关数据和条件</w:t>
      </w:r>
      <w:r>
        <w:rPr>
          <w:rFonts w:hint="eastAsia" w:ascii="楷体" w:hAnsi="楷体" w:eastAsia="楷体" w:cs="楷体"/>
          <w:sz w:val="32"/>
          <w:szCs w:val="32"/>
          <w:lang w:eastAsia="zh-CN"/>
        </w:rPr>
        <w:t>。</w:t>
      </w:r>
      <w:r>
        <w:rPr>
          <w:rFonts w:hint="eastAsia" w:ascii="仿宋_GB2312" w:eastAsia="仿宋_GB2312"/>
          <w:sz w:val="32"/>
          <w:szCs w:val="32"/>
        </w:rPr>
        <w:t>根据全国大OTA平台携程网数据统计，黔东南州民宿已达2677家，11、12月有</w:t>
      </w:r>
      <w:r>
        <w:rPr>
          <w:rFonts w:hint="eastAsia" w:ascii="仿宋_GB2312" w:eastAsia="仿宋_GB2312"/>
          <w:sz w:val="32"/>
          <w:szCs w:val="32"/>
          <w:lang w:eastAsia="zh-CN"/>
        </w:rPr>
        <w:t>客源</w:t>
      </w:r>
      <w:r>
        <w:rPr>
          <w:rFonts w:hint="eastAsia" w:ascii="仿宋_GB2312" w:eastAsia="仿宋_GB2312"/>
          <w:sz w:val="32"/>
          <w:szCs w:val="32"/>
        </w:rPr>
        <w:t>酒店仅962家，客源地排行榜前10分别是凯里、贵阳、黔东南周边、上海、重庆、广州、成都、深圳、北京、遵义</w:t>
      </w:r>
      <w:r>
        <w:rPr>
          <w:rFonts w:hint="eastAsia" w:ascii="仿宋_GB2312" w:eastAsia="仿宋_GB2312"/>
          <w:sz w:val="32"/>
          <w:szCs w:val="32"/>
          <w:lang w:eastAsia="zh-CN"/>
        </w:rPr>
        <w:t>。</w:t>
      </w:r>
    </w:p>
    <w:p>
      <w:pPr>
        <w:pStyle w:val="6"/>
        <w:widowControl/>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二、存在的问题</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任何事物都有两面性，黔东南民宿的发展依然存在一些不容忽视而有待改进的问题：</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发展没有秩序</w:t>
      </w:r>
      <w:r>
        <w:rPr>
          <w:rFonts w:hint="eastAsia" w:ascii="仿宋_GB2312" w:eastAsia="仿宋_GB2312"/>
          <w:sz w:val="32"/>
          <w:szCs w:val="32"/>
          <w:lang w:eastAsia="zh-CN"/>
        </w:rPr>
        <w:t>。</w:t>
      </w:r>
      <w:r>
        <w:rPr>
          <w:rFonts w:hint="eastAsia" w:ascii="仿宋_GB2312" w:eastAsia="仿宋_GB2312"/>
          <w:sz w:val="32"/>
          <w:szCs w:val="32"/>
        </w:rPr>
        <w:t>民宿的经济处在自由发展的状态，有着“遍地开花、一哄而起”的现象。存在的民宿数量呈只增不减的趋势，在没有秩序的情况下建立起来的民宿，大多数没有达到合理科学的布局和适度发展的需求，质量良莠不齐。</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营销松散</w:t>
      </w:r>
      <w:r>
        <w:rPr>
          <w:rFonts w:hint="eastAsia" w:ascii="仿宋_GB2312" w:eastAsia="仿宋_GB2312"/>
          <w:sz w:val="32"/>
          <w:szCs w:val="32"/>
          <w:lang w:eastAsia="zh-CN"/>
        </w:rPr>
        <w:t>。</w:t>
      </w:r>
      <w:r>
        <w:rPr>
          <w:rFonts w:hint="eastAsia" w:ascii="仿宋_GB2312" w:eastAsia="仿宋_GB2312"/>
          <w:sz w:val="32"/>
          <w:szCs w:val="32"/>
        </w:rPr>
        <w:t>经营者的宣传营销手段较为单一，主要依赖于回头客和口碑宣传，大多数利用网络平台推广，缺乏整体宣传营销目的地的意识，导致一些质量不过关的民宿很火爆，而高质量的民宿却不为人所知，经常出现“节假日人满</w:t>
      </w:r>
      <w:r>
        <w:rPr>
          <w:rFonts w:hint="eastAsia" w:ascii="仿宋_GB2312" w:eastAsia="仿宋_GB2312"/>
          <w:sz w:val="32"/>
          <w:szCs w:val="32"/>
          <w:lang w:val="en-US" w:eastAsia="zh-CN"/>
        </w:rPr>
        <w:t>为</w:t>
      </w:r>
      <w:r>
        <w:rPr>
          <w:rFonts w:hint="eastAsia" w:ascii="仿宋_GB2312" w:eastAsia="仿宋_GB2312"/>
          <w:sz w:val="32"/>
          <w:szCs w:val="32"/>
        </w:rPr>
        <w:t>患、平时关门打烊”的极端现象。</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隐患较多</w:t>
      </w:r>
      <w:r>
        <w:rPr>
          <w:rFonts w:hint="eastAsia" w:ascii="仿宋_GB2312" w:eastAsia="仿宋_GB2312"/>
          <w:sz w:val="32"/>
          <w:szCs w:val="32"/>
          <w:lang w:eastAsia="zh-CN"/>
        </w:rPr>
        <w:t>。</w:t>
      </w:r>
      <w:r>
        <w:rPr>
          <w:rFonts w:hint="eastAsia" w:ascii="仿宋_GB2312" w:eastAsia="仿宋_GB2312"/>
          <w:sz w:val="32"/>
          <w:szCs w:val="32"/>
        </w:rPr>
        <w:t>大多数民宿没有正规部门监管，也没有完善的治安、消防系统</w:t>
      </w:r>
      <w:r>
        <w:rPr>
          <w:rFonts w:hint="eastAsia" w:ascii="仿宋_GB2312" w:eastAsia="仿宋_GB2312"/>
          <w:sz w:val="32"/>
          <w:szCs w:val="32"/>
          <w:lang w:eastAsia="zh-CN"/>
        </w:rPr>
        <w:t>；</w:t>
      </w:r>
      <w:r>
        <w:rPr>
          <w:rFonts w:hint="eastAsia" w:ascii="仿宋_GB2312" w:eastAsia="仿宋_GB2312"/>
          <w:sz w:val="32"/>
          <w:szCs w:val="32"/>
        </w:rPr>
        <w:t>有的民宿装饰材料耐火性差，消防设备配备不足，存在很多的消防、治安等不稳定隐患，对游客的人身安全带来威胁。</w:t>
      </w:r>
    </w:p>
    <w:p>
      <w:pPr>
        <w:pStyle w:val="6"/>
        <w:widowControl/>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建议</w:t>
      </w:r>
      <w:r>
        <w:rPr>
          <w:rFonts w:hint="eastAsia" w:ascii="仿宋_GB2312" w:eastAsia="仿宋_GB2312"/>
          <w:sz w:val="32"/>
          <w:szCs w:val="32"/>
          <w:lang w:eastAsia="zh-CN"/>
        </w:rPr>
        <w:t>：</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有关部门加强对民宿的监管</w:t>
      </w:r>
      <w:r>
        <w:rPr>
          <w:rFonts w:hint="eastAsia" w:ascii="仿宋_GB2312" w:eastAsia="仿宋_GB2312"/>
          <w:sz w:val="32"/>
          <w:szCs w:val="32"/>
          <w:lang w:eastAsia="zh-CN"/>
        </w:rPr>
        <w:t>。</w:t>
      </w:r>
      <w:r>
        <w:rPr>
          <w:rFonts w:hint="eastAsia" w:ascii="仿宋_GB2312" w:eastAsia="仿宋_GB2312"/>
          <w:sz w:val="32"/>
          <w:szCs w:val="32"/>
        </w:rPr>
        <w:t>尽快出台民宿相关的管理制度、经营标准、法律法规逐渐成为许多游客的呼声，要想让民宿得到可持续发展，必然要将民宿的经营规范化，以优化用户体验。</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构建权威的等级评价体系</w:t>
      </w:r>
      <w:r>
        <w:rPr>
          <w:rFonts w:hint="eastAsia" w:ascii="仿宋_GB2312" w:eastAsia="仿宋_GB2312"/>
          <w:sz w:val="32"/>
          <w:szCs w:val="32"/>
          <w:lang w:eastAsia="zh-CN"/>
        </w:rPr>
        <w:t>。</w:t>
      </w:r>
      <w:r>
        <w:rPr>
          <w:rFonts w:hint="eastAsia" w:ascii="仿宋_GB2312" w:eastAsia="仿宋_GB2312"/>
          <w:sz w:val="32"/>
          <w:szCs w:val="32"/>
        </w:rPr>
        <w:t>专业人士定期对民宿的设施、服务、质量等进行抽查、考核与等级评定，并结合符合实际情况的顾客口碑评价，为消费者的判断和决策提供参考标准。</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提高民宿从业人员的素质</w:t>
      </w:r>
      <w:r>
        <w:rPr>
          <w:rFonts w:hint="eastAsia" w:ascii="仿宋_GB2312" w:eastAsia="仿宋_GB2312"/>
          <w:sz w:val="32"/>
          <w:szCs w:val="32"/>
          <w:lang w:eastAsia="zh-CN"/>
        </w:rPr>
        <w:t>。</w:t>
      </w:r>
      <w:r>
        <w:rPr>
          <w:rFonts w:hint="eastAsia" w:ascii="仿宋_GB2312" w:eastAsia="仿宋_GB2312"/>
          <w:sz w:val="32"/>
          <w:szCs w:val="32"/>
        </w:rPr>
        <w:t>引进高素质、高质量、高水平的讲师、导游、营销和公关人员等，对从事民宿业的原住民、员工和经营者加强教育和培训，为民宿创造一个更加稳定的方向和更加光 明的前景。通过提高从业人员的素质来提升产品服务的质量和服务态度，为游客提供更舒心的民宿旅游体验。</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强化品牌效应</w:t>
      </w:r>
      <w:r>
        <w:rPr>
          <w:rFonts w:hint="eastAsia" w:ascii="仿宋_GB2312" w:eastAsia="仿宋_GB2312"/>
          <w:sz w:val="32"/>
          <w:szCs w:val="32"/>
          <w:lang w:eastAsia="zh-CN"/>
        </w:rPr>
        <w:t>。</w:t>
      </w:r>
      <w:r>
        <w:rPr>
          <w:rFonts w:hint="eastAsia" w:ascii="仿宋_GB2312" w:eastAsia="仿宋_GB2312"/>
          <w:sz w:val="32"/>
          <w:szCs w:val="32"/>
        </w:rPr>
        <w:t>良好的口碑，打响品牌，实施特色民宿旅游品牌战略对目的地形象传播与策划应该从兴建产业项目的实际情况着手，对黔东南州民宿旅游产业项目品牌战略的原则进行合理的定位，让黔东南州的民宿旅游特色产业项目能够通过品牌形象获取更多的市场效益。</w:t>
      </w:r>
    </w:p>
    <w:p>
      <w:pPr>
        <w:pStyle w:val="6"/>
        <w:widowControl/>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发展民宿经济助推乡村振兴</w:t>
      </w:r>
      <w:r>
        <w:rPr>
          <w:rFonts w:hint="eastAsia" w:ascii="仿宋_GB2312" w:eastAsia="仿宋_GB2312"/>
          <w:sz w:val="32"/>
          <w:szCs w:val="32"/>
          <w:lang w:eastAsia="zh-CN"/>
        </w:rPr>
        <w:t>。</w:t>
      </w:r>
      <w:r>
        <w:rPr>
          <w:rFonts w:hint="eastAsia" w:ascii="仿宋_GB2312" w:eastAsia="仿宋_GB2312"/>
          <w:sz w:val="32"/>
          <w:szCs w:val="32"/>
        </w:rPr>
        <w:t>品质引领，政府主动作为，开展规划设计，引进国内外知名团队参与规划建设；传统村落保护，整合资金，在道路建设、村庄环境整治、自来水提升、污水治理等方面优先考虑民宿发展村的配套建设；利用民宿发展助推村集体增收，将村闲置房产、土地、山林等统一租赁到村集体，为客商提供优质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r>
        <w:rPr>
          <w:rFonts w:hint="eastAsia" w:ascii="仿宋_GB2312" w:eastAsia="仿宋_GB2312"/>
          <w:sz w:val="32"/>
          <w:szCs w:val="32"/>
          <w:lang w:val="en-US" w:eastAsia="zh-CN"/>
        </w:rPr>
        <w:t>6.</w:t>
      </w:r>
      <w:r>
        <w:rPr>
          <w:rFonts w:hint="eastAsia" w:ascii="仿宋_GB2312" w:eastAsia="仿宋_GB2312"/>
          <w:sz w:val="32"/>
          <w:szCs w:val="32"/>
        </w:rPr>
        <w:t>争取加大政府投资力度和财政支持</w:t>
      </w:r>
      <w:r>
        <w:rPr>
          <w:rFonts w:hint="eastAsia" w:ascii="仿宋_GB2312" w:eastAsia="仿宋_GB2312"/>
          <w:sz w:val="32"/>
          <w:szCs w:val="32"/>
          <w:lang w:eastAsia="zh-CN"/>
        </w:rPr>
        <w:t>。</w:t>
      </w:r>
      <w:r>
        <w:rPr>
          <w:rFonts w:hint="eastAsia" w:ascii="仿宋_GB2312" w:eastAsia="仿宋_GB2312"/>
          <w:sz w:val="32"/>
          <w:szCs w:val="32"/>
        </w:rPr>
        <w:t xml:space="preserve"> 争取加大政府投资力度和财政支持，加大黔东南州产业转型管理力度，大力发展黔东南州的餐饮、特色旅游（其中就包含民宿旅游）以及物流等服务业，并且对相关产业集群发展给予一定的重视。   </w:t>
      </w: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黑体" w:hAnsi="黑体" w:eastAsia="黑体" w:cs="黑体"/>
          <w:b/>
          <w:bCs/>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0FF715E6"/>
    <w:rsid w:val="10B40BCC"/>
    <w:rsid w:val="118823F2"/>
    <w:rsid w:val="1471763D"/>
    <w:rsid w:val="16F969DB"/>
    <w:rsid w:val="18EC1E64"/>
    <w:rsid w:val="1B913D76"/>
    <w:rsid w:val="1BAB45FA"/>
    <w:rsid w:val="1D124BB8"/>
    <w:rsid w:val="20E366FE"/>
    <w:rsid w:val="21EA0B57"/>
    <w:rsid w:val="23370767"/>
    <w:rsid w:val="280B3E99"/>
    <w:rsid w:val="29BB049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A6A10A6"/>
    <w:rsid w:val="4F1E6C2C"/>
    <w:rsid w:val="4F6B5D70"/>
    <w:rsid w:val="4FD75182"/>
    <w:rsid w:val="507F065A"/>
    <w:rsid w:val="5236789E"/>
    <w:rsid w:val="559F1A55"/>
    <w:rsid w:val="5A7C34BF"/>
    <w:rsid w:val="5AA17385"/>
    <w:rsid w:val="5B7C24C8"/>
    <w:rsid w:val="5C6B77F5"/>
    <w:rsid w:val="61895CCF"/>
    <w:rsid w:val="66F35DD9"/>
    <w:rsid w:val="67615A51"/>
    <w:rsid w:val="6854075C"/>
    <w:rsid w:val="69A37ABB"/>
    <w:rsid w:val="6A644AE2"/>
    <w:rsid w:val="6F5974BD"/>
    <w:rsid w:val="72DF1356"/>
    <w:rsid w:val="743C31A8"/>
    <w:rsid w:val="74620891"/>
    <w:rsid w:val="75FC7C1A"/>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2022-01-06T08:38:22Z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16B1691A71EF48EBBF4CDB61AB90292B</vt:lpwstr>
  </property>
</Properties>
</file>