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151</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类别：社会建设类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both"/>
              <w:textAlignment w:val="auto"/>
              <w:rPr>
                <w:rStyle w:val="18"/>
                <w:rFonts w:ascii="宋体" w:hAnsi="宋体" w:cs="宋体"/>
                <w:b/>
                <w:bCs/>
                <w:kern w:val="0"/>
                <w:sz w:val="24"/>
              </w:rPr>
            </w:pPr>
            <w:r>
              <w:rPr>
                <w:rFonts w:hint="eastAsia" w:ascii="Times New Roman" w:hAnsi="Times New Roman" w:eastAsia="宋体" w:cs="Times New Roman"/>
                <w:b/>
                <w:bCs/>
                <w:kern w:val="0"/>
                <w:sz w:val="24"/>
                <w:szCs w:val="24"/>
                <w:lang w:val="en-US" w:eastAsia="zh-CN"/>
              </w:rPr>
              <w:t>关于加强我州农村饮水安全现状运行管理的建议</w:t>
            </w:r>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主办：州水务局</w:t>
            </w:r>
            <w:r>
              <w:rPr>
                <w:rStyle w:val="18"/>
                <w:rFonts w:hint="eastAsia" w:ascii="宋体" w:hAnsi="宋体"/>
                <w:kern w:val="0"/>
                <w:sz w:val="24"/>
                <w:szCs w:val="24"/>
                <w:lang w:val="en-US" w:eastAsia="zh-CN"/>
              </w:rPr>
              <w:t xml:space="preserve">   会办：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4"/>
              <w:ind w:left="0" w:leftChars="0" w:firstLine="0" w:firstLineChars="0"/>
              <w:rPr>
                <w:rFonts w:hint="default"/>
                <w:lang w:val="en-US" w:eastAsia="zh-CN"/>
              </w:rPr>
            </w:pPr>
            <w:r>
              <w:rPr>
                <w:rFonts w:hint="default"/>
                <w:lang w:val="en-US" w:eastAsia="zh-CN"/>
              </w:rPr>
              <w:t>韦</w:t>
            </w:r>
            <w:r>
              <w:rPr>
                <w:rFonts w:hint="eastAsia"/>
                <w:lang w:val="en-US" w:eastAsia="zh-CN"/>
              </w:rPr>
              <w:t xml:space="preserve">  </w:t>
            </w:r>
            <w:r>
              <w:rPr>
                <w:rFonts w:hint="default"/>
                <w:lang w:val="en-US" w:eastAsia="zh-CN"/>
              </w:rPr>
              <w:t>燏</w:t>
            </w:r>
          </w:p>
        </w:tc>
        <w:tc>
          <w:tcPr>
            <w:tcW w:w="3872" w:type="dxa"/>
            <w:vAlign w:val="center"/>
          </w:tcPr>
          <w:p>
            <w:pPr>
              <w:pStyle w:val="34"/>
              <w:ind w:left="0" w:leftChars="0" w:firstLine="0" w:firstLineChars="0"/>
              <w:rPr>
                <w:rFonts w:hint="default"/>
                <w:lang w:val="en-US" w:eastAsia="zh-CN"/>
              </w:rPr>
            </w:pPr>
            <w:r>
              <w:rPr>
                <w:rFonts w:hint="default"/>
                <w:lang w:val="en-US" w:eastAsia="zh-CN"/>
              </w:rPr>
              <w:t>丹寨县兴仁镇</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7500</w:t>
            </w:r>
          </w:p>
        </w:tc>
        <w:tc>
          <w:tcPr>
            <w:tcW w:w="1485" w:type="dxa"/>
            <w:vAlign w:val="center"/>
          </w:tcPr>
          <w:p>
            <w:pPr>
              <w:pStyle w:val="34"/>
              <w:ind w:left="0" w:leftChars="0" w:firstLine="0" w:firstLineChars="0"/>
              <w:rPr>
                <w:rFonts w:hint="default"/>
                <w:lang w:val="en-US" w:eastAsia="zh-CN"/>
              </w:rPr>
            </w:pPr>
            <w:r>
              <w:rPr>
                <w:rFonts w:hint="default"/>
                <w:sz w:val="20"/>
                <w:szCs w:val="22"/>
                <w:lang w:val="en-US" w:eastAsia="zh-CN"/>
              </w:rPr>
              <w:t>15908552277</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近年来，我州广大农村地区加大投入，有效解决了农村饮水困难问题。但由于工程技术或水源点等原因，人饮工程建设仍存在以下问题：一是饮水工程项目前期建设不合理。在人饮工程建设初期，只接入主管网，未实施一户一表，造成大部分村（居）在收缴水费过程中实行平摊制，部分常年外出务工群众由于没有使用到水资源，不愿缴费，导致部分村（居）水费收缴不规范不及时。二是取水点设计不合理。因部分饮水点扬尘过高，导致成本过大，部分饮水点群众使用意愿较低。三是饮水工程后期经费投入少。饮水工程项目只有前期项目经费投入，没有后期管护资金，造成维护经费需通过农户收缴水费来实现，又因水费收缴困难，维护不及时，导致饮水管网损坏，部分饮水点不能正常使用。四是水质较差。虽配备管水员，但由于工资待遇不高，人员流动性大，队伍建设不强，管水员业务能力不强，对消毒设备的使用及消毒液的投放量掌握不精准，导致饮水水质较差。五是群众保护水源意识淡薄。存在有些群众在水源地附近乱堆乱放垃圾，导致水源地污染。</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（一）透明水费收缴标准。</w:t>
      </w:r>
      <w:r>
        <w:rPr>
          <w:rStyle w:val="18"/>
          <w:rFonts w:hint="eastAsia" w:ascii="仿宋_GB2312" w:hAnsi="宋体" w:eastAsia="仿宋_GB2312"/>
          <w:kern w:val="0"/>
          <w:sz w:val="32"/>
          <w:szCs w:val="32"/>
        </w:rPr>
        <w:t>通过院坝会、小组会等听取广大群众意见，将水费收缴制度纳入村规民约，对征收的水费开支定期向用户进行公示，接受用户及社会的监督。同时，建立水价补偿机制，对工程运行维护费用较高，但水价难以到位的一些工程，采取财政补贴的方式，维护管理单位和用户双方的利益。</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（二）健全饮水安全巩固。</w:t>
      </w:r>
      <w:r>
        <w:rPr>
          <w:rStyle w:val="18"/>
          <w:rFonts w:hint="eastAsia" w:ascii="仿宋_GB2312" w:hAnsi="宋体" w:eastAsia="仿宋_GB2312"/>
          <w:kern w:val="0"/>
          <w:sz w:val="32"/>
          <w:szCs w:val="32"/>
        </w:rPr>
        <w:t>争取项目实施农村饮水安全巩固提升工程，通过实地考察，合理、科学选址，新建、扩建、配套、改造、联网等方式，加强农村供水工程改造提升和农村供水设施维修，提高供水设施管理养护，使农村饮水安全得到全面保障。</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（三）建立供水保障体系。</w:t>
      </w:r>
      <w:r>
        <w:rPr>
          <w:rStyle w:val="18"/>
          <w:rFonts w:hint="eastAsia" w:ascii="仿宋_GB2312" w:hAnsi="宋体" w:eastAsia="仿宋_GB2312"/>
          <w:kern w:val="0"/>
          <w:sz w:val="32"/>
          <w:szCs w:val="32"/>
        </w:rPr>
        <w:t>成立农村供水工程运行维护人员队伍，常态化开展培训，逐步实行管护人员持证上岗;组建农村供水工程应急维修队伍；建立农村供水工程维修基金，用于规模较小、效益不明显的供水工程的维护费用补贴。</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（四）创新工程管护机制。</w:t>
      </w:r>
      <w:r>
        <w:rPr>
          <w:rStyle w:val="18"/>
          <w:rFonts w:hint="eastAsia" w:ascii="仿宋_GB2312" w:hAnsi="宋体" w:eastAsia="仿宋_GB2312"/>
          <w:kern w:val="0"/>
          <w:sz w:val="32"/>
          <w:szCs w:val="32"/>
        </w:rPr>
        <w:t>健全工程运行管护制度，全面落实农村饮水安全管理“三个责任”和“三项制度”，加强对村级管水员的培训力度，使其熟练操作消毒设备及精准投放消毒液量，确保出水水质合格，让群众喝上安全水、放心水，保障群众饮水健康。</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rPr>
        <w:t>（五）扩大卫生教育宣传。</w:t>
      </w:r>
      <w:r>
        <w:rPr>
          <w:rStyle w:val="18"/>
          <w:rFonts w:hint="eastAsia" w:ascii="仿宋_GB2312" w:hAnsi="宋体" w:eastAsia="仿宋_GB2312"/>
          <w:kern w:val="0"/>
          <w:sz w:val="32"/>
          <w:szCs w:val="32"/>
        </w:rPr>
        <w:t xml:space="preserve">深入农村开展饮水安全健康教育，提高群众安全饮水意识，引导群众积极饮用消毒饮用水。同时，严格禁止破坏水源地设施行为，对水源地实行24小时巡逻制度，及时排查和消除各类安全隐患，确保信息畅通，发现问题，及时上报，及时处理，保障供水安全。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 xml:space="preserve"> </w:t>
      </w: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1F7D4319"/>
    <w:rsid w:val="20E366FE"/>
    <w:rsid w:val="21EA0B57"/>
    <w:rsid w:val="247C3884"/>
    <w:rsid w:val="29EB237C"/>
    <w:rsid w:val="2FD84B80"/>
    <w:rsid w:val="30B878C9"/>
    <w:rsid w:val="33552650"/>
    <w:rsid w:val="377737A4"/>
    <w:rsid w:val="38D60616"/>
    <w:rsid w:val="3A7B4D73"/>
    <w:rsid w:val="3BE7499D"/>
    <w:rsid w:val="3F1A5C90"/>
    <w:rsid w:val="3FFFB32C"/>
    <w:rsid w:val="3FFFE3C6"/>
    <w:rsid w:val="42F10C9F"/>
    <w:rsid w:val="493508EE"/>
    <w:rsid w:val="497C7186"/>
    <w:rsid w:val="4A196944"/>
    <w:rsid w:val="4F1E6C2C"/>
    <w:rsid w:val="4F6B5D70"/>
    <w:rsid w:val="507F065A"/>
    <w:rsid w:val="5236789E"/>
    <w:rsid w:val="559F1A55"/>
    <w:rsid w:val="5A7C34BF"/>
    <w:rsid w:val="5AA17385"/>
    <w:rsid w:val="5B7C24C8"/>
    <w:rsid w:val="5E7C7E34"/>
    <w:rsid w:val="61895CCF"/>
    <w:rsid w:val="66BFFAA4"/>
    <w:rsid w:val="66F35DD9"/>
    <w:rsid w:val="67EB87B7"/>
    <w:rsid w:val="6854075C"/>
    <w:rsid w:val="69A37ABB"/>
    <w:rsid w:val="6B6BD482"/>
    <w:rsid w:val="6B9B22E1"/>
    <w:rsid w:val="72FFB92D"/>
    <w:rsid w:val="762A4BFD"/>
    <w:rsid w:val="77DEC814"/>
    <w:rsid w:val="7AFF21E4"/>
    <w:rsid w:val="7B7EC3A2"/>
    <w:rsid w:val="7C1F064D"/>
    <w:rsid w:val="7DBB9FDA"/>
    <w:rsid w:val="7E4FB8D5"/>
    <w:rsid w:val="7E6E4452"/>
    <w:rsid w:val="7F3DD669"/>
    <w:rsid w:val="7FE0122B"/>
    <w:rsid w:val="7FFF2EBA"/>
    <w:rsid w:val="97D6C3E0"/>
    <w:rsid w:val="CDF7FEA7"/>
    <w:rsid w:val="E1DB5338"/>
    <w:rsid w:val="EE396E33"/>
    <w:rsid w:val="EE7D4E26"/>
    <w:rsid w:val="F76FD043"/>
    <w:rsid w:val="FA87AF83"/>
    <w:rsid w:val="FEEF87BA"/>
    <w:rsid w:val="FF6F7B92"/>
    <w:rsid w:val="FFBA6652"/>
    <w:rsid w:val="FFDDB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 w:type="paragraph" w:customStyle="1" w:styleId="34">
    <w:name w:val="TableOfAuthoring"/>
    <w:basedOn w:val="1"/>
    <w:next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16</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2022-01-08T06:15:57Z</cp:lastPrinted>
  <dcterms:modified xsi:type="dcterms:W3CDTF">2022-01-08T06:16:03Z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