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076</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类别：经济建设类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both"/>
              <w:rPr>
                <w:rStyle w:val="10"/>
                <w:rFonts w:ascii="宋体" w:hAnsi="宋体" w:cs="宋体"/>
                <w:b/>
                <w:bCs/>
                <w:kern w:val="0"/>
                <w:sz w:val="24"/>
              </w:rPr>
            </w:pPr>
            <w:r>
              <w:rPr>
                <w:rFonts w:hint="eastAsia" w:ascii="Times New Roman" w:hAnsi="Times New Roman" w:eastAsia="宋体" w:cs="Times New Roman"/>
                <w:b/>
                <w:bCs/>
                <w:kern w:val="0"/>
                <w:sz w:val="24"/>
                <w:lang w:val="en-US" w:eastAsia="zh-CN"/>
              </w:rPr>
              <w:t>关于加快构建黔东南州全域旅游格局的建议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kern w:val="0"/>
                <w:sz w:val="24"/>
                <w:lang w:val="en-US" w:eastAsia="zh-CN"/>
              </w:rPr>
            </w:pPr>
            <w:r>
              <w:rPr>
                <w:rStyle w:val="10"/>
                <w:rFonts w:hint="eastAsia" w:ascii="宋体" w:hAnsi="宋体"/>
                <w:kern w:val="0"/>
                <w:sz w:val="24"/>
                <w:lang w:eastAsia="zh-CN"/>
              </w:rPr>
              <w:t>主办：州文</w:t>
            </w:r>
            <w:r>
              <w:rPr>
                <w:rStyle w:val="10"/>
                <w:rFonts w:hint="eastAsia" w:ascii="宋体" w:hAnsi="宋体"/>
                <w:kern w:val="0"/>
                <w:sz w:val="24"/>
                <w:lang w:val="en-US" w:eastAsia="zh-CN"/>
              </w:rPr>
              <w:t>广局    会办：州发改委</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案</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hint="default" w:ascii="宋体" w:hAnsi="宋体" w:eastAsia="宋体"/>
                <w:kern w:val="0"/>
                <w:sz w:val="24"/>
                <w:lang w:val="en-US" w:eastAsia="zh-CN"/>
              </w:rPr>
            </w:pPr>
            <w:r>
              <w:rPr>
                <w:rFonts w:hint="eastAsia"/>
                <w:lang w:eastAsia="zh-CN"/>
              </w:rPr>
              <w:t>李晓应</w:t>
            </w:r>
          </w:p>
        </w:tc>
        <w:tc>
          <w:tcPr>
            <w:tcW w:w="3872" w:type="dxa"/>
            <w:vAlign w:val="center"/>
          </w:tcPr>
          <w:p>
            <w:pPr>
              <w:jc w:val="left"/>
              <w:rPr>
                <w:rStyle w:val="10"/>
                <w:rFonts w:hint="eastAsia" w:ascii="宋体" w:hAnsi="宋体" w:eastAsia="宋体"/>
                <w:kern w:val="0"/>
                <w:sz w:val="24"/>
                <w:lang w:val="en-US" w:eastAsia="zh-CN"/>
              </w:rPr>
            </w:pPr>
            <w:r>
              <w:rPr>
                <w:rFonts w:hint="eastAsia"/>
              </w:rPr>
              <w:t>黄平县</w:t>
            </w:r>
            <w:r>
              <w:rPr>
                <w:rFonts w:hint="eastAsia"/>
                <w:lang w:eastAsia="zh-CN"/>
              </w:rPr>
              <w:t>委宣传部</w:t>
            </w:r>
          </w:p>
        </w:tc>
        <w:tc>
          <w:tcPr>
            <w:tcW w:w="1440"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rPr>
              <w:t>55</w:t>
            </w:r>
            <w:r>
              <w:rPr>
                <w:rStyle w:val="10"/>
                <w:rFonts w:hint="eastAsia" w:ascii="宋体" w:hAnsi="宋体"/>
                <w:kern w:val="0"/>
                <w:sz w:val="24"/>
                <w:lang w:val="en-US" w:eastAsia="zh-CN"/>
              </w:rPr>
              <w:t>6100</w:t>
            </w:r>
          </w:p>
        </w:tc>
        <w:tc>
          <w:tcPr>
            <w:tcW w:w="1485"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val="en-US" w:eastAsia="zh-CN"/>
              </w:rPr>
              <w:t>13985293606</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left="0" w:leftChars="0" w:firstLine="640" w:firstLineChars="200"/>
        <w:rPr>
          <w:rStyle w:val="10"/>
          <w:rFonts w:hint="eastAsia"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多彩贵州，醉美黔东南。黔东南旅游资源丰富，特别是原生态民族风情，迤逦多姿的山水风光，吸引了国内外众多游客到黔东南探秘、游憩、休闲度假。尤其是镇远古城、雷山西江、黎平肇兴等景区景点蜚声海内外。但是也存在全州各县市各自为政，同质化竞争突出。州域资源整合不充分，缺乏国际国内的市场竞争力。</w:t>
      </w:r>
    </w:p>
    <w:p>
      <w:pPr>
        <w:spacing w:line="560" w:lineRule="exact"/>
        <w:ind w:left="0" w:leftChars="0" w:firstLine="640" w:firstLineChars="200"/>
        <w:rPr>
          <w:rStyle w:val="10"/>
          <w:rFonts w:hint="eastAsia"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建议：</w:t>
      </w:r>
    </w:p>
    <w:p>
      <w:pPr>
        <w:spacing w:line="560" w:lineRule="exact"/>
        <w:ind w:left="0" w:leftChars="0" w:firstLine="640" w:firstLineChars="200"/>
        <w:rPr>
          <w:rStyle w:val="10"/>
          <w:rFonts w:hint="default"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一是加快推进全州旅游总体规划，有效整合资源，打造精品旅游景区景点，推出具有国际影响力的旅游精品线路。比如以雷山西江为龙头的苗族文化和以黎平肇兴为龙头的侗族文化旅游线路。以镇远古镇、黄平旧州、锦屏隆里为链接的历史文化旅游线路等。</w:t>
      </w:r>
    </w:p>
    <w:p>
      <w:pPr>
        <w:spacing w:line="560" w:lineRule="exact"/>
        <w:ind w:left="0" w:leftChars="0" w:firstLine="640" w:firstLineChars="200"/>
        <w:rPr>
          <w:rStyle w:val="10"/>
          <w:rFonts w:hint="default"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二是由州统筹，打破县域界限，整合旅游资源，打造具有国际影响力和竞争力的大景区大景点。比如，整合黄平旧州古镇、浪洞温泉、野洞河漂流、飞云崖等景区，施秉杉木河漂流、云台山自然遗产、黑冲红色文化等景区，镇远古城、高过河漂流等景区，岑巩龙鳌河、陈圆圆墓等景区，打造舞阳河自然山水历史文化风光带。</w:t>
      </w:r>
    </w:p>
    <w:p>
      <w:pPr>
        <w:spacing w:line="560" w:lineRule="exact"/>
        <w:ind w:left="0" w:leftChars="0" w:firstLine="640" w:firstLineChars="200"/>
        <w:rPr>
          <w:rStyle w:val="10"/>
          <w:rFonts w:hint="eastAsia"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0"/>
          <w:rFonts w:hint="default" w:ascii="仿宋_GB2312" w:hAnsi="宋体" w:eastAsia="仿宋_GB2312"/>
          <w:kern w:val="0"/>
          <w:sz w:val="32"/>
          <w:szCs w:val="32"/>
          <w:lang w:val="en-US" w:eastAsia="zh-CN"/>
        </w:rPr>
      </w:pPr>
      <w:r>
        <w:rPr>
          <w:rStyle w:val="10"/>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222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20C7666"/>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F1A5C90"/>
    <w:rsid w:val="42F10C9F"/>
    <w:rsid w:val="493508EE"/>
    <w:rsid w:val="497C7186"/>
    <w:rsid w:val="4A196944"/>
    <w:rsid w:val="4F1E6C2C"/>
    <w:rsid w:val="4F6B5D70"/>
    <w:rsid w:val="507F065A"/>
    <w:rsid w:val="5236789E"/>
    <w:rsid w:val="559F1A55"/>
    <w:rsid w:val="5A7C34BF"/>
    <w:rsid w:val="5AA17385"/>
    <w:rsid w:val="5B7C24C8"/>
    <w:rsid w:val="61895CCF"/>
    <w:rsid w:val="66F35DD9"/>
    <w:rsid w:val="6854075C"/>
    <w:rsid w:val="69A37ABB"/>
    <w:rsid w:val="7C1F064D"/>
    <w:rsid w:val="7FEED01A"/>
    <w:rsid w:val="BBBD2FA8"/>
    <w:rsid w:val="FFBFF304"/>
    <w:rsid w:val="FFE53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paragraph" w:customStyle="1" w:styleId="21">
    <w:name w:val="正文-公1"/>
    <w:basedOn w:val="1"/>
    <w:qFormat/>
    <w:uiPriority w:val="99"/>
    <w:pPr>
      <w:ind w:firstLine="200" w:firstLineChars="200"/>
    </w:pPr>
    <w:rPr>
      <w:rFonts w:ascii="Calibri" w:hAnsi="Calibri"/>
    </w:rPr>
  </w:style>
  <w:style w:type="paragraph" w:customStyle="1" w:styleId="22">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662</Words>
  <Characters>707</Characters>
  <Lines>14</Lines>
  <Paragraphs>4</Paragraphs>
  <TotalTime>0</TotalTime>
  <ScaleCrop>false</ScaleCrop>
  <LinksUpToDate>false</LinksUpToDate>
  <CharactersWithSpaces>742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2022-01-05T11:45:00Z</cp:lastPrinted>
  <dcterms:modified xsi:type="dcterms:W3CDTF">2022-03-29T06:30:42Z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