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10" w:rsidRDefault="00B34327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FE7410" w:rsidRDefault="00B34327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FE7410" w:rsidRDefault="00B34327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FE7410" w:rsidRDefault="00FE7410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FE7410" w:rsidRDefault="00FE7410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FE7410" w:rsidRDefault="00FE7410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FE741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FE7410" w:rsidRDefault="00FE7410"/>
              </w:txbxContent>
            </v:textbox>
            <w10:wrap type="none"/>
            <w10:anchorlock/>
          </v:rect>
        </w:pict>
      </w:r>
    </w:p>
    <w:p w:rsidR="00FE7410" w:rsidRDefault="00B34327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9C4929">
        <w:rPr>
          <w:rStyle w:val="NormalCharacter"/>
          <w:rFonts w:ascii="宋体" w:hAnsi="宋体" w:hint="eastAsia"/>
          <w:kern w:val="0"/>
          <w:sz w:val="24"/>
        </w:rPr>
        <w:t>54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9C4929">
        <w:rPr>
          <w:rStyle w:val="NormalCharacter"/>
          <w:rFonts w:ascii="宋体" w:hAnsi="宋体" w:hint="eastAsia"/>
          <w:kern w:val="0"/>
          <w:sz w:val="24"/>
        </w:rPr>
        <w:t>政治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FE7410" w:rsidRDefault="00FE7410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FE741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FE7410" w:rsidRDefault="00FE7410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FE7410">
        <w:tc>
          <w:tcPr>
            <w:tcW w:w="1753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FE7410" w:rsidRDefault="009C4929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9C4929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关于加快制定黔东南州“城市精细化管理”标准体系积极推进城市精细化管理的建议</w:t>
            </w:r>
          </w:p>
        </w:tc>
      </w:tr>
      <w:tr w:rsidR="00FE7410">
        <w:tc>
          <w:tcPr>
            <w:tcW w:w="1753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9C4929">
              <w:rPr>
                <w:rStyle w:val="NormalCharacter"/>
                <w:rFonts w:ascii="宋体" w:hAnsi="宋体" w:hint="eastAsia"/>
                <w:kern w:val="0"/>
                <w:sz w:val="24"/>
              </w:rPr>
              <w:t>州住建局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</w:p>
        </w:tc>
      </w:tr>
      <w:tr w:rsidR="00FE7410">
        <w:tc>
          <w:tcPr>
            <w:tcW w:w="1753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FE7410">
        <w:tc>
          <w:tcPr>
            <w:tcW w:w="1753" w:type="dxa"/>
            <w:vAlign w:val="center"/>
          </w:tcPr>
          <w:p w:rsidR="00FE7410" w:rsidRDefault="009C49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9C4929">
              <w:rPr>
                <w:rStyle w:val="NormalCharacter"/>
                <w:rFonts w:ascii="宋体" w:hAnsi="宋体" w:hint="eastAsia"/>
                <w:kern w:val="0"/>
                <w:sz w:val="24"/>
              </w:rPr>
              <w:t>廖少禹</w:t>
            </w:r>
          </w:p>
        </w:tc>
        <w:tc>
          <w:tcPr>
            <w:tcW w:w="3872" w:type="dxa"/>
            <w:vAlign w:val="center"/>
          </w:tcPr>
          <w:p w:rsidR="00FE7410" w:rsidRDefault="009C49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榕江县政协</w:t>
            </w:r>
          </w:p>
        </w:tc>
        <w:tc>
          <w:tcPr>
            <w:tcW w:w="1440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FE7410" w:rsidRDefault="009C492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9C4929">
              <w:rPr>
                <w:rStyle w:val="NormalCharacter"/>
                <w:rFonts w:ascii="宋体" w:hAnsi="宋体"/>
                <w:kern w:val="0"/>
                <w:sz w:val="24"/>
              </w:rPr>
              <w:t>13618550891</w:t>
            </w:r>
          </w:p>
        </w:tc>
      </w:tr>
      <w:tr w:rsidR="00FE7410">
        <w:tc>
          <w:tcPr>
            <w:tcW w:w="1753" w:type="dxa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FE7410" w:rsidRDefault="00B3432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FE7410" w:rsidRDefault="00FE7410">
      <w:pPr>
        <w:jc w:val="left"/>
        <w:rPr>
          <w:rStyle w:val="NormalCharacter"/>
          <w:rFonts w:ascii="宋体" w:hAnsi="宋体"/>
          <w:kern w:val="0"/>
          <w:sz w:val="24"/>
        </w:rPr>
      </w:pPr>
      <w:r w:rsidRPr="00FE7410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FE7410" w:rsidRDefault="00FE7410"/>
              </w:txbxContent>
            </v:textbox>
            <w10:wrap type="none"/>
            <w10:anchorlock/>
          </v:rect>
        </w:pict>
      </w:r>
    </w:p>
    <w:p w:rsidR="00FE7410" w:rsidRDefault="00B34327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近年来，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习近平新时代中国特色社会主义思想和党的十九大精神引领下，全州上下认真贯彻落实中央城市工作会议精神，积极推进一系列工程项目，城市人居环境、综合功能、管理效率等明显提升，城区旧貌换新颜，城市综合承载能力不断增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人民群众的幸福感和满足感不断增强。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尽管如此，在城市建设管理方面仍然存在一些不容忽视的问题，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离习近平总书记提出的“提高城市管理水平要在科学化、精细化、智能化上下功夫”的最新要求和群众的愿望还有一定差距。体现在: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一是由于历史和客观条件制约，中心城区基础设施配套设计标准偏低、商业网络布局不够合理、公共交通配套不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到位、停车设施严重不足等问题相对突出。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是有的市民素质还比较低。主要表现在宠物狗随地大小便，行人稍有不慎就容易踏上；路边店铺忙于生意，门前随意丢弃垃圾的问题比较严重；过路行人不按正常红绿灯过马路，闯红灯抢红灯、横穿马路的现象随处可见，给文明城市带来不文明的行为。三是管理的精细程度上存在不足。另外，在基础设施配套、绿化亮化、社区管理等方面与人民群众的需求还有一定的差距。四是在管理机制上还不够科学。随着城区的不断扩大，管理任务日渐增多和繁重，人员数量、专业能力、执法装备等短板问题日益凸显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针对这些问题，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建议：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制定《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  <w:shd w:val="clear" w:color="auto" w:fill="FFFFFF"/>
        </w:rPr>
        <w:t>黔东南州</w:t>
      </w:r>
      <w:r>
        <w:rPr>
          <w:rStyle w:val="a6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城</w:t>
      </w:r>
      <w:r>
        <w:rPr>
          <w:rFonts w:ascii="仿宋_GB2312" w:eastAsia="仿宋_GB2312" w:hAnsi="仿宋_GB2312" w:cs="仿宋_GB2312" w:hint="eastAsia"/>
          <w:sz w:val="32"/>
          <w:szCs w:val="32"/>
        </w:rPr>
        <w:t>市精细化管理标准体系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》。国家住房和城乡建设部于2020年12月18日颁布了《</w:t>
      </w: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城市市容市貌干净整洁有序安全标准（试行）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》，我们要借鉴先进城市的经验，尽快制定《</w:t>
      </w:r>
      <w:r>
        <w:rPr>
          <w:rStyle w:val="a6"/>
          <w:rFonts w:ascii="仿宋_GB2312" w:eastAsia="仿宋_GB2312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黔东南州城</w:t>
      </w:r>
      <w:r>
        <w:rPr>
          <w:rFonts w:ascii="仿宋_GB2312" w:eastAsia="仿宋_GB2312" w:hAnsi="仿宋_GB2312" w:cs="仿宋_GB2312" w:hint="eastAsia"/>
          <w:sz w:val="32"/>
          <w:szCs w:val="32"/>
        </w:rPr>
        <w:t>市精细化管理标准体系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将城管执法、环境卫生、园林绿化、市政设施、供水排水、公共广场、燃气管理、防汛消防等领域的管理目标、管理标准、管理措施和考核计分办法等予以具体确定。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树立标准化管理城市理念，坚持高标准、精细化原则，将城市管理工作对标对表，落实到每一个细节，实现内容具体、标准统一、管理精细。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摸清底数，精准施策，精细管理。通过对城市道路、路灯、井盖、公厕、垃圾站、果皮箱、路名牌、行道树、广告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牌、建筑工地、门牌店招等管理对象进行彻底调查摸底，分类研判，力争做到精细化管理、个性化服务。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一步深化城市管理体制机制改革，系统梳理管理事项，明确“任务清单”和“责任清单”。要实行以街道、社区为基础，全面推进“路长制”、“街长制”、“巷长制”，将每一条街巷、每一栋建筑、每一座工地、每一块广告牌等管理对象都纳入管理之中，实行“网格化”管理，全面推广多位一体的巡管模式，在责任区内实行市容、环卫、市政、绿化综合巡查，切实提高城市管理效能。要建立“街道社区+关联部门+执法机构”联动机制，实行“网格化”管理，实现每一条街道、每一个小巷、每一个小区都有网格员队伍（社区干部+关联部门人员+城管人员）。建立常态化监督机制，严格落实奖惩制度，建立问责追责机制，层层传导压力，切实把城市管理工作落到实处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大城市管理投入，完善城市基础设施，积极探索城市管理的市场运作机制。要盘活、整合现有的公共停车场和小区地下停车场等城市资源，创建快捷有序的城市交通环境。结合老旧城区改造工程，加大对老旧住宅小区的基础设施改造完善的同时，加强对老旧住宅小区的物业管理工作，积极探索“第三方公司+老旧小区”的物管模式，将物业管理引入“老旧小区”，彻底解决老旧小区“四不管”的问题。按照政府主导、市场运作、社会参与、企业管理的原则，发挥财政资金的导向功能，积极吸引社会资本参与城市管理，建立多元化的筹融资机制。将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市管理领域内的环境卫生保洁、园林绿化养护、市政设施维护等专业管理采取市场化运作，形成统一管理、多家经营、有序竞争的运行机制。</w:t>
      </w:r>
    </w:p>
    <w:p w:rsidR="009C4929" w:rsidRDefault="009C4929" w:rsidP="009C4929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五是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宣传引导、齐抓共管、示范引领，实现共管共治。引导广大市民增强文明意识，自觉遵守市民行为规范和社会公德，不断提高自身素质。通过报纸、电视、广播、网络等宣传媒体，以开辟城市管理专栏、专题、热线等形式，广泛收集公众意见，积极宣传加强城市管理的举措，引导社会关注和监督城市管理工作，使广大居民成为城市管理的主体。倡导志愿者服务，开展城市管理体验日活动，畅通公众有序参与城市管理的渠道。要进一步落实“门前三包”责任制，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加强“门前三包”管理工作，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充分调动各有关部门单位和沿街经营户参与城市管理积极性。要以创建全国文明卫生示范街（巷、社区）、“文明小区”为抓手，开展环境优美、服务完善、设备完好、管理到位等方面的。以点带面，全面推进，突出城市精细化管理，全面提升主次干道、背街小巷和社区的市容环境卫生水平。</w:t>
      </w:r>
    </w:p>
    <w:p w:rsidR="00FE7410" w:rsidRPr="009C4929" w:rsidRDefault="00FE7410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E7410" w:rsidRDefault="00FE7410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E7410" w:rsidRDefault="00B34327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FE7410" w:rsidRDefault="00B34327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lastRenderedPageBreak/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FE7410" w:rsidSect="00FE7410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27" w:rsidRDefault="00B34327" w:rsidP="00FE7410">
      <w:r>
        <w:separator/>
      </w:r>
    </w:p>
  </w:endnote>
  <w:endnote w:type="continuationSeparator" w:id="1">
    <w:p w:rsidR="00B34327" w:rsidRDefault="00B34327" w:rsidP="00FE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FE7410" w:rsidRDefault="00FE7410">
        <w:pPr>
          <w:pStyle w:val="a3"/>
          <w:jc w:val="center"/>
        </w:pPr>
        <w:r w:rsidRPr="00FE7410">
          <w:fldChar w:fldCharType="begin"/>
        </w:r>
        <w:r w:rsidR="00B34327">
          <w:instrText xml:space="preserve"> PAGE   \* MERGEFORMAT </w:instrText>
        </w:r>
        <w:r w:rsidRPr="00FE7410">
          <w:fldChar w:fldCharType="separate"/>
        </w:r>
        <w:r w:rsidR="009C4929" w:rsidRPr="009C492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E7410" w:rsidRDefault="00FE74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27" w:rsidRDefault="00B34327" w:rsidP="00FE7410">
      <w:r>
        <w:separator/>
      </w:r>
    </w:p>
  </w:footnote>
  <w:footnote w:type="continuationSeparator" w:id="1">
    <w:p w:rsidR="00B34327" w:rsidRDefault="00B34327" w:rsidP="00FE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10" w:rsidRDefault="00FE7410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9C4929"/>
    <w:rsid w:val="00A351EC"/>
    <w:rsid w:val="00A75BD7"/>
    <w:rsid w:val="00A94399"/>
    <w:rsid w:val="00A97C93"/>
    <w:rsid w:val="00B34327"/>
    <w:rsid w:val="00C76ECC"/>
    <w:rsid w:val="00D123BF"/>
    <w:rsid w:val="00DD129A"/>
    <w:rsid w:val="00EA1493"/>
    <w:rsid w:val="00FB6911"/>
    <w:rsid w:val="00FE7410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410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7410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41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E741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FE7410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FE7410"/>
    <w:rPr>
      <w:color w:val="0000FF"/>
      <w:u w:val="single"/>
    </w:rPr>
  </w:style>
  <w:style w:type="character" w:customStyle="1" w:styleId="NormalCharacter">
    <w:name w:val="NormalCharacter"/>
    <w:semiHidden/>
    <w:qFormat/>
    <w:rsid w:val="00FE7410"/>
  </w:style>
  <w:style w:type="paragraph" w:customStyle="1" w:styleId="Heading1">
    <w:name w:val="Heading1"/>
    <w:basedOn w:val="a"/>
    <w:link w:val="UserStyle3"/>
    <w:qFormat/>
    <w:rsid w:val="00FE741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FE74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FE7410"/>
    <w:rPr>
      <w:sz w:val="18"/>
      <w:szCs w:val="18"/>
    </w:rPr>
  </w:style>
  <w:style w:type="paragraph" w:customStyle="1" w:styleId="UserStyle0">
    <w:name w:val="UserStyle_0"/>
    <w:basedOn w:val="a"/>
    <w:qFormat/>
    <w:rsid w:val="00FE7410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FE7410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FE741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FE7410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FE7410"/>
  </w:style>
  <w:style w:type="paragraph" w:customStyle="1" w:styleId="HtmlNormal">
    <w:name w:val="HtmlNormal"/>
    <w:basedOn w:val="a"/>
    <w:semiHidden/>
    <w:qFormat/>
    <w:rsid w:val="00FE741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FE7410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9C4929"/>
    <w:rPr>
      <w:sz w:val="18"/>
      <w:szCs w:val="18"/>
    </w:rPr>
  </w:style>
  <w:style w:type="character" w:customStyle="1" w:styleId="Char0">
    <w:name w:val="批注框文本 Char"/>
    <w:basedOn w:val="a0"/>
    <w:link w:val="a8"/>
    <w:rsid w:val="009C492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1949</Characters>
  <Application>Microsoft Office Word</Application>
  <DocSecurity>0</DocSecurity>
  <Lines>16</Lines>
  <Paragraphs>4</Paragraphs>
  <ScaleCrop>false</ScaleCrop>
  <Company>Micorosoft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2022-01-05T01:42:00Z</dcterms:created>
  <dcterms:modified xsi:type="dcterms:W3CDTF">2022-01-05T01:42:00Z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