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060</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Style w:val="11"/>
                <w:rFonts w:hint="eastAsia" w:ascii="宋体" w:hAnsi="宋体" w:cs="宋体"/>
                <w:b/>
                <w:bCs/>
                <w:kern w:val="0"/>
                <w:sz w:val="24"/>
              </w:rPr>
              <w:t>关于加大力度解决黔东南州乡镇政府人力资源短缺问题的建议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主办：州人社局</w:t>
            </w:r>
            <w:r>
              <w:rPr>
                <w:rStyle w:val="11"/>
                <w:rFonts w:hint="eastAsia" w:ascii="宋体" w:hAnsi="宋体"/>
                <w:kern w:val="0"/>
                <w:sz w:val="24"/>
                <w:lang w:val="en-US" w:eastAsia="zh-CN"/>
              </w:rPr>
              <w:t xml:space="preserve">   会办：州委组织部</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rPr>
                <w:rFonts w:hint="eastAsia" w:eastAsia="宋体"/>
                <w:lang w:eastAsia="zh-CN"/>
              </w:rPr>
            </w:pPr>
            <w:r>
              <w:rPr>
                <w:rFonts w:hint="eastAsia"/>
                <w:lang w:eastAsia="zh-CN"/>
              </w:rPr>
              <w:t>司顺文</w:t>
            </w:r>
          </w:p>
        </w:tc>
        <w:tc>
          <w:tcPr>
            <w:tcW w:w="3872" w:type="dxa"/>
            <w:vAlign w:val="center"/>
          </w:tcPr>
          <w:p>
            <w:pPr>
              <w:jc w:val="left"/>
              <w:rPr>
                <w:rStyle w:val="11"/>
                <w:rFonts w:hint="eastAsia" w:ascii="宋体" w:hAnsi="宋体" w:eastAsia="宋体"/>
                <w:kern w:val="0"/>
                <w:sz w:val="24"/>
                <w:lang w:val="en-US" w:eastAsia="zh-CN"/>
              </w:rPr>
            </w:pPr>
            <w:r>
              <w:rPr>
                <w:rStyle w:val="11"/>
                <w:rFonts w:hint="eastAsia" w:ascii="宋体" w:hAnsi="宋体" w:eastAsia="宋体"/>
                <w:kern w:val="0"/>
                <w:sz w:val="24"/>
                <w:lang w:val="en-US" w:eastAsia="zh-CN"/>
              </w:rPr>
              <w:t>榕江县委党校</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557200</w:t>
            </w:r>
          </w:p>
        </w:tc>
        <w:tc>
          <w:tcPr>
            <w:tcW w:w="1485" w:type="dxa"/>
            <w:vAlign w:val="center"/>
          </w:tcPr>
          <w:p>
            <w:pPr>
              <w:jc w:val="left"/>
              <w:rPr>
                <w:rFonts w:hint="default"/>
                <w:lang w:val="en-US" w:eastAsia="zh-CN"/>
              </w:rPr>
            </w:pPr>
            <w:r>
              <w:rPr>
                <w:rFonts w:hint="default"/>
                <w:lang w:val="en-US" w:eastAsia="zh-CN"/>
              </w:rPr>
              <w:t>18798559823</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村振兴战略的提出为农村基本公共服务事业的发展提出了一系列新任务、新要求，将农村公共服务供给提升到了一个全新的高度。乡镇政府处于国家与农村社会交互作用的关键节点，是连接政府与农民的中枢和纽带，其作为农村基本公共服务体系建设的组织者、协调者和践行者，不仅负责各项具体农村公共服务政策的贯彻落实，而且决定着农村公共服务供给的发展方向和总体水平。因此，乡村振兴背景下，乡镇政府公共服务能力的发挥起着关键性的作用。</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然而，由于受到诸多因素影响，黔东南州农村地区乡镇政府公共服务能力不足较为突出，成为黔东南州推动高质量发展、贯彻落实乡村振兴战略、推动实现农业农村全面振兴的制约因素，乡镇政府人力资源匮乏就是其中之一。</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研发现，当前黔东南州农村地区乡镇政府有编而无人的情况较为突出，致使相关部门的公共服务能力发挥不足，推动社会经济高质量发展有难度，同时也制约了推进实施乡村振兴战略的进程。例如，榕江县乐理镇财政所有6个编制，只有5人，缺1人；林业站有12个编制，只有8人，缺4人；水利站有4个编制，只有2人，缺2人；人社中心有5个编制，只有3人，缺2人；科教中心有3个编制，只有2人，缺1人；农服中心有10个编制，只有7人，缺3人；乡村振兴工作站有6个编制，只有2人，缺4人。再如，榕江县两汪乡林业站有编制8个，只有5人，缺3人；水利站有编制4个，只有3人，缺1人；财政所有编制5个，只有3人，缺2人；农服中心有编制4个，只有3人，缺1人；人社中心有编制5个，只有3人，缺2人；科教中心有编制3个，只有1人，缺2人；安监站有编制2个，实际无人；残联有编制1个，实际无人；计生协会有编制2个，只有1人，缺1人；敬老院有编制2个，只有1人，缺1人；乡村振兴工作站有编制4个，只有3人，缺1人；村镇建设中心有编制2个，只有1人，缺1人。乡镇政府人力资源短缺导致乡镇政府在推进乡村振兴战略实践中人手不够，成为当前制约乡镇政府服务能力建设的瓶颈。同时，也是制约黔东南州贯彻落实乡村振兴战略的因素之一。</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建议:</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解决黔东南州农村地区乡镇</w:t>
      </w:r>
      <w:r>
        <w:rPr>
          <w:rFonts w:hint="eastAsia" w:ascii="仿宋_GB2312" w:hAnsi="仿宋_GB2312" w:eastAsia="仿宋_GB2312" w:cs="仿宋_GB2312"/>
          <w:color w:val="auto"/>
          <w:sz w:val="32"/>
          <w:szCs w:val="32"/>
        </w:rPr>
        <w:t>政府</w:t>
      </w:r>
      <w:r>
        <w:rPr>
          <w:rFonts w:ascii="仿宋_GB2312" w:hAnsi="仿宋_GB2312" w:eastAsia="仿宋_GB2312" w:cs="仿宋_GB2312"/>
          <w:color w:val="auto"/>
          <w:sz w:val="32"/>
          <w:szCs w:val="32"/>
        </w:rPr>
        <w:t>人才资源短缺问题，其根本措施在于，在保持城镇化总的方向不变的前提下，通过</w:t>
      </w:r>
      <w:r>
        <w:rPr>
          <w:rFonts w:hint="eastAsia" w:ascii="仿宋_GB2312" w:hAnsi="仿宋_GB2312" w:eastAsia="仿宋_GB2312" w:cs="仿宋_GB2312"/>
          <w:color w:val="auto"/>
          <w:sz w:val="32"/>
          <w:szCs w:val="32"/>
        </w:rPr>
        <w:t>不断</w:t>
      </w:r>
      <w:r>
        <w:rPr>
          <w:rFonts w:ascii="仿宋_GB2312" w:hAnsi="仿宋_GB2312" w:eastAsia="仿宋_GB2312" w:cs="仿宋_GB2312"/>
          <w:color w:val="auto"/>
          <w:sz w:val="32"/>
          <w:szCs w:val="32"/>
        </w:rPr>
        <w:t>完善乡镇政府的人才引进渠道，建立健全有利于各类人才向乡镇流动的政策支持体系</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这就需要以国家大力实施乡村振兴战略为契机，推进</w:t>
      </w:r>
      <w:r>
        <w:rPr>
          <w:rFonts w:hint="eastAsia" w:ascii="仿宋_GB2312" w:hAnsi="仿宋_GB2312" w:eastAsia="仿宋_GB2312" w:cs="仿宋_GB2312"/>
          <w:color w:val="auto"/>
          <w:sz w:val="32"/>
          <w:szCs w:val="32"/>
        </w:rPr>
        <w:t>黔东南</w:t>
      </w:r>
      <w:r>
        <w:rPr>
          <w:rFonts w:ascii="仿宋_GB2312" w:hAnsi="仿宋_GB2312" w:eastAsia="仿宋_GB2312" w:cs="仿宋_GB2312"/>
          <w:color w:val="auto"/>
          <w:sz w:val="32"/>
          <w:szCs w:val="32"/>
        </w:rPr>
        <w:t>农村人才振兴，通过完善乡镇政府的人才引进机制，做好吸引人才、留住人才、发展人才的各项工作，努力实现城乡融合的人才流动格局。</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ascii="仿宋_GB2312" w:hAnsi="仿宋_GB2312" w:eastAsia="仿宋_GB2312" w:cs="仿宋_GB2312"/>
          <w:color w:val="auto"/>
          <w:sz w:val="32"/>
          <w:szCs w:val="32"/>
        </w:rPr>
        <w:t>按照城乡融合发展的思路，建立健全城乡、区域、校地之间人才培养合作与交流机制。继续贯彻落实“三支一扶”大学生服务农村政策。在实践中，应采取灵活、富有弹性的乡镇人才引进和选拔任用制度，以及短期与中长期相结合的支农下乡方案，给予大学生多样化的选择。推动产学研相结合，逐步构建起大中专院校、国有企业等政府企事业单位对口支援农村基层的长效机制。</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ascii="仿宋_GB2312" w:hAnsi="仿宋_GB2312" w:eastAsia="仿宋_GB2312" w:cs="仿宋_GB2312"/>
          <w:color w:val="auto"/>
          <w:sz w:val="32"/>
          <w:szCs w:val="32"/>
        </w:rPr>
        <w:t>拓展基层公共服务人才的来源和渠道，积极鼓励引导高层次管理和服务人才服务乡镇，破除户籍、地域、身份、学历、人事关系等制约人才流动的障碍性因素。降低乡镇一般岗位的申请资格和准入门槛，允许符合要求的公职人员回乡任职。吸纳本土人才，充分发掘和利用好基层本土干部在农村公共服务供给中的优势。注重从本地成长的熟悉农村、了解农村、与农民群众有深厚感情的政府职员中选拔乡镇领导干部。加大从优秀村干部队伍中招录乡镇公务员和事业编制人员力度，提高乡镇公务员的招录比例，通过扩大录取量，充实乡镇队伍，减少乡镇空编现象。保证乡镇政府干部队伍的稳定性和工作的连续性，明确基层岗位的最低服务年限，并严格控制乡镇人员在服务年限内的借调与外调。</w:t>
      </w:r>
    </w:p>
    <w:p>
      <w:pPr>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推进实施专家服务基层计划，积极鼓励高等院校、科研院所等事业单位专业技术人员通过在乡镇政府或事业单位兼职、挂职、离岗任职等途径深入农村基层，开展公共服务活动。充分发挥各类专家学者在</w:t>
      </w:r>
      <w:bookmarkStart w:id="0" w:name="_GoBack"/>
      <w:bookmarkEnd w:id="0"/>
      <w:r>
        <w:rPr>
          <w:rFonts w:ascii="仿宋_GB2312" w:hAnsi="仿宋_GB2312" w:eastAsia="仿宋_GB2312" w:cs="仿宋_GB2312"/>
          <w:color w:val="auto"/>
          <w:sz w:val="32"/>
          <w:szCs w:val="32"/>
        </w:rPr>
        <w:t>产业规划、农业技术支持、法律建设以及医疗卫生、社会保障、文化教育等公共服务领域的专业优势，提高乡镇政府服务供给的总体水平。</w:t>
      </w:r>
    </w:p>
    <w:p>
      <w:pPr>
        <w:pStyle w:val="2"/>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20E366FE"/>
    <w:rsid w:val="21EA0B57"/>
    <w:rsid w:val="23370767"/>
    <w:rsid w:val="29EB237C"/>
    <w:rsid w:val="2BDD0731"/>
    <w:rsid w:val="2FD84B80"/>
    <w:rsid w:val="30B878C9"/>
    <w:rsid w:val="32794BB9"/>
    <w:rsid w:val="33552650"/>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5E32616A"/>
    <w:rsid w:val="61895CCF"/>
    <w:rsid w:val="66F35DD9"/>
    <w:rsid w:val="6854075C"/>
    <w:rsid w:val="69A37ABB"/>
    <w:rsid w:val="6A644AE2"/>
    <w:rsid w:val="74620891"/>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2022-01-05T03:54:12Z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35773D1771A14A2597BAA06F54DFAEB0</vt:lpwstr>
  </property>
</Properties>
</file>