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45" w:rsidRDefault="00EF7EFC">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4B1045" w:rsidRDefault="00EF7EFC">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4B1045" w:rsidRDefault="00EF7EFC">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4B1045" w:rsidRDefault="004B1045">
      <w:pPr>
        <w:spacing w:line="320" w:lineRule="exact"/>
        <w:jc w:val="center"/>
        <w:textAlignment w:val="top"/>
        <w:rPr>
          <w:rStyle w:val="NormalCharacter"/>
          <w:rFonts w:ascii="宋体" w:hAnsi="宋体"/>
          <w:kern w:val="0"/>
          <w:sz w:val="24"/>
        </w:rPr>
      </w:pPr>
    </w:p>
    <w:p w:rsidR="004B1045" w:rsidRDefault="004B1045">
      <w:pPr>
        <w:spacing w:line="320" w:lineRule="exact"/>
        <w:jc w:val="center"/>
        <w:textAlignment w:val="top"/>
        <w:rPr>
          <w:rStyle w:val="NormalCharacter"/>
          <w:rFonts w:ascii="宋体" w:hAnsi="宋体"/>
          <w:kern w:val="0"/>
          <w:sz w:val="24"/>
        </w:rPr>
      </w:pPr>
    </w:p>
    <w:p w:rsidR="004B1045" w:rsidRDefault="004B1045">
      <w:pPr>
        <w:spacing w:line="760" w:lineRule="exact"/>
        <w:textAlignment w:val="top"/>
        <w:rPr>
          <w:rStyle w:val="NormalCharacter"/>
          <w:rFonts w:ascii="宋体" w:hAnsi="宋体"/>
          <w:kern w:val="0"/>
          <w:sz w:val="24"/>
        </w:rPr>
      </w:pPr>
      <w:r w:rsidRPr="004B1045">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4B1045" w:rsidRDefault="004B1045"/>
              </w:txbxContent>
            </v:textbox>
            <w10:wrap type="none"/>
            <w10:anchorlock/>
          </v:rect>
        </w:pict>
      </w:r>
    </w:p>
    <w:p w:rsidR="004B1045" w:rsidRDefault="00EF7EFC">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Pr>
          <w:rStyle w:val="NormalCharacter"/>
          <w:rFonts w:ascii="宋体" w:hAnsi="宋体" w:hint="eastAsia"/>
          <w:kern w:val="0"/>
          <w:sz w:val="24"/>
        </w:rPr>
        <w:t>0</w:t>
      </w:r>
      <w:r w:rsidR="00783DE2">
        <w:rPr>
          <w:rStyle w:val="NormalCharacter"/>
          <w:rFonts w:ascii="宋体" w:hAnsi="宋体" w:hint="eastAsia"/>
          <w:kern w:val="0"/>
          <w:sz w:val="24"/>
        </w:rPr>
        <w:t>47</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783DE2">
        <w:rPr>
          <w:rStyle w:val="NormalCharacter"/>
          <w:rFonts w:ascii="宋体" w:hAnsi="宋体" w:hint="eastAsia"/>
          <w:kern w:val="0"/>
          <w:sz w:val="24"/>
        </w:rPr>
        <w:t>政治</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4B1045" w:rsidRDefault="004B1045">
      <w:pPr>
        <w:spacing w:line="320" w:lineRule="exact"/>
        <w:jc w:val="left"/>
        <w:rPr>
          <w:rStyle w:val="NormalCharacter"/>
          <w:rFonts w:ascii="宋体" w:hAnsi="宋体"/>
          <w:kern w:val="0"/>
          <w:sz w:val="24"/>
        </w:rPr>
      </w:pPr>
      <w:r w:rsidRPr="004B1045">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4B1045" w:rsidRDefault="004B1045"/>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4B1045">
        <w:tc>
          <w:tcPr>
            <w:tcW w:w="1753" w:type="dxa"/>
            <w:vAlign w:val="center"/>
          </w:tcPr>
          <w:p w:rsidR="004B1045" w:rsidRDefault="00EF7EFC">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4B1045" w:rsidRDefault="00783DE2">
            <w:pPr>
              <w:jc w:val="left"/>
              <w:rPr>
                <w:rStyle w:val="NormalCharacter"/>
                <w:rFonts w:ascii="宋体" w:hAnsi="宋体" w:cs="宋体"/>
                <w:b/>
                <w:bCs/>
                <w:kern w:val="0"/>
                <w:sz w:val="24"/>
              </w:rPr>
            </w:pPr>
            <w:r w:rsidRPr="00783DE2">
              <w:rPr>
                <w:rStyle w:val="NormalCharacter"/>
                <w:rFonts w:ascii="宋体" w:eastAsiaTheme="minorEastAsia" w:hAnsi="宋体" w:cs="宋体" w:hint="eastAsia"/>
                <w:b/>
                <w:bCs/>
                <w:kern w:val="0"/>
                <w:sz w:val="24"/>
              </w:rPr>
              <w:t>关于将村两委干部纳入工伤保险保障范围的建议</w:t>
            </w:r>
          </w:p>
        </w:tc>
      </w:tr>
      <w:tr w:rsidR="004B1045">
        <w:tc>
          <w:tcPr>
            <w:tcW w:w="1753" w:type="dxa"/>
            <w:vAlign w:val="center"/>
          </w:tcPr>
          <w:p w:rsidR="004B1045" w:rsidRDefault="00EF7EFC">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4B1045" w:rsidRDefault="00EF7EFC">
            <w:pPr>
              <w:jc w:val="left"/>
              <w:rPr>
                <w:rStyle w:val="NormalCharacter"/>
                <w:rFonts w:ascii="宋体" w:hAnsi="宋体"/>
                <w:kern w:val="0"/>
                <w:sz w:val="24"/>
              </w:rPr>
            </w:pPr>
            <w:r>
              <w:rPr>
                <w:rStyle w:val="NormalCharacter"/>
                <w:rFonts w:ascii="宋体" w:hAnsi="宋体" w:hint="eastAsia"/>
                <w:kern w:val="0"/>
                <w:sz w:val="24"/>
              </w:rPr>
              <w:t>主办：</w:t>
            </w:r>
            <w:r w:rsidR="00783DE2">
              <w:rPr>
                <w:rStyle w:val="NormalCharacter"/>
                <w:rFonts w:ascii="宋体" w:hAnsi="宋体" w:hint="eastAsia"/>
                <w:kern w:val="0"/>
                <w:sz w:val="24"/>
              </w:rPr>
              <w:t>州人社局</w:t>
            </w:r>
            <w:r>
              <w:rPr>
                <w:rStyle w:val="NormalCharacter"/>
                <w:rFonts w:ascii="宋体" w:hAnsi="宋体" w:hint="eastAsia"/>
                <w:kern w:val="0"/>
                <w:sz w:val="24"/>
              </w:rPr>
              <w:t xml:space="preserve">    </w:t>
            </w:r>
            <w:r>
              <w:rPr>
                <w:rStyle w:val="NormalCharacter"/>
                <w:rFonts w:ascii="宋体" w:hAnsi="宋体" w:hint="eastAsia"/>
                <w:kern w:val="0"/>
                <w:sz w:val="24"/>
              </w:rPr>
              <w:t>会办：</w:t>
            </w:r>
            <w:r w:rsidR="00783DE2">
              <w:rPr>
                <w:rStyle w:val="NormalCharacter"/>
                <w:rFonts w:ascii="宋体" w:hAnsi="宋体" w:hint="eastAsia"/>
                <w:kern w:val="0"/>
                <w:sz w:val="24"/>
              </w:rPr>
              <w:t>州委组织部、州民政局、州财政局</w:t>
            </w:r>
          </w:p>
        </w:tc>
      </w:tr>
      <w:tr w:rsidR="004B1045">
        <w:tc>
          <w:tcPr>
            <w:tcW w:w="1753" w:type="dxa"/>
            <w:vAlign w:val="center"/>
          </w:tcPr>
          <w:p w:rsidR="004B1045" w:rsidRDefault="00EF7EFC">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4B1045" w:rsidRDefault="00EF7EFC">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4B1045" w:rsidRDefault="00EF7EFC">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4B1045" w:rsidRDefault="00EF7EFC">
            <w:pPr>
              <w:jc w:val="left"/>
              <w:rPr>
                <w:rStyle w:val="NormalCharacter"/>
                <w:rFonts w:ascii="宋体" w:hAnsi="宋体"/>
                <w:kern w:val="0"/>
                <w:sz w:val="24"/>
              </w:rPr>
            </w:pPr>
            <w:r>
              <w:rPr>
                <w:rStyle w:val="NormalCharacter"/>
                <w:rFonts w:ascii="宋体" w:hAnsi="宋体" w:cs="宋体"/>
                <w:b/>
                <w:bCs/>
                <w:kern w:val="0"/>
                <w:sz w:val="24"/>
              </w:rPr>
              <w:t>联系电话</w:t>
            </w:r>
          </w:p>
        </w:tc>
      </w:tr>
      <w:tr w:rsidR="004B1045">
        <w:tc>
          <w:tcPr>
            <w:tcW w:w="1753" w:type="dxa"/>
            <w:vAlign w:val="center"/>
          </w:tcPr>
          <w:p w:rsidR="004B1045" w:rsidRDefault="00783DE2">
            <w:pPr>
              <w:jc w:val="left"/>
              <w:rPr>
                <w:rStyle w:val="NormalCharacter"/>
                <w:rFonts w:ascii="宋体" w:hAnsi="宋体"/>
                <w:kern w:val="0"/>
                <w:sz w:val="24"/>
              </w:rPr>
            </w:pPr>
            <w:r w:rsidRPr="00783DE2">
              <w:rPr>
                <w:rStyle w:val="NormalCharacter"/>
                <w:rFonts w:ascii="宋体" w:hAnsi="宋体" w:hint="eastAsia"/>
                <w:kern w:val="0"/>
                <w:sz w:val="24"/>
              </w:rPr>
              <w:t>潘承莉</w:t>
            </w:r>
          </w:p>
        </w:tc>
        <w:tc>
          <w:tcPr>
            <w:tcW w:w="3872" w:type="dxa"/>
            <w:vAlign w:val="center"/>
          </w:tcPr>
          <w:p w:rsidR="004B1045" w:rsidRDefault="00783DE2">
            <w:pPr>
              <w:jc w:val="left"/>
              <w:rPr>
                <w:rStyle w:val="NormalCharacter"/>
                <w:rFonts w:ascii="宋体" w:hAnsi="宋体"/>
                <w:kern w:val="0"/>
                <w:sz w:val="24"/>
              </w:rPr>
            </w:pPr>
            <w:r w:rsidRPr="00783DE2">
              <w:rPr>
                <w:rStyle w:val="NormalCharacter"/>
                <w:rFonts w:ascii="宋体" w:hAnsi="宋体" w:hint="eastAsia"/>
                <w:kern w:val="0"/>
                <w:sz w:val="24"/>
              </w:rPr>
              <w:t>黎平县人力资源和社会保障局</w:t>
            </w:r>
          </w:p>
        </w:tc>
        <w:tc>
          <w:tcPr>
            <w:tcW w:w="1440" w:type="dxa"/>
            <w:vAlign w:val="center"/>
          </w:tcPr>
          <w:p w:rsidR="004B1045" w:rsidRDefault="00EF7EFC">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4B1045" w:rsidRDefault="00783DE2">
            <w:pPr>
              <w:jc w:val="left"/>
              <w:rPr>
                <w:rStyle w:val="NormalCharacter"/>
                <w:rFonts w:ascii="宋体" w:hAnsi="宋体"/>
                <w:kern w:val="0"/>
                <w:sz w:val="24"/>
              </w:rPr>
            </w:pPr>
            <w:r w:rsidRPr="00783DE2">
              <w:rPr>
                <w:rStyle w:val="NormalCharacter"/>
                <w:rFonts w:ascii="宋体" w:hAnsi="宋体" w:hint="eastAsia"/>
                <w:kern w:val="0"/>
                <w:sz w:val="24"/>
              </w:rPr>
              <w:t>13678557760</w:t>
            </w:r>
          </w:p>
        </w:tc>
      </w:tr>
      <w:tr w:rsidR="004B1045">
        <w:tc>
          <w:tcPr>
            <w:tcW w:w="1753" w:type="dxa"/>
            <w:vAlign w:val="center"/>
          </w:tcPr>
          <w:p w:rsidR="004B1045" w:rsidRDefault="00EF7EFC">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4B1045" w:rsidRDefault="00EF7EFC">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4B1045" w:rsidRDefault="00EF7EFC">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4B1045" w:rsidRDefault="004B1045">
      <w:pPr>
        <w:jc w:val="left"/>
        <w:rPr>
          <w:rStyle w:val="NormalCharacter"/>
          <w:rFonts w:ascii="宋体" w:hAnsi="宋体"/>
          <w:kern w:val="0"/>
          <w:sz w:val="24"/>
        </w:rPr>
      </w:pPr>
      <w:r w:rsidRPr="004B1045">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4B1045" w:rsidRDefault="004B1045"/>
              </w:txbxContent>
            </v:textbox>
            <w10:wrap type="none"/>
            <w10:anchorlock/>
          </v:rect>
        </w:pict>
      </w:r>
    </w:p>
    <w:p w:rsidR="004B1045" w:rsidRDefault="00EF7EFC">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783DE2" w:rsidRDefault="00783DE2" w:rsidP="00783DE2">
      <w:pPr>
        <w:spacing w:line="560" w:lineRule="exact"/>
        <w:ind w:firstLineChars="200" w:firstLine="640"/>
        <w:textAlignment w:val="auto"/>
        <w:outlineLvl w:val="1"/>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rPr>
        <w:t>我国的社会保险是依据《劳动法》、《社会保险法》等相关法律规定，用于保障人民基本生活、权利重大社会政策,是构建和谐社会的重要内容。是人民实现老有所养、病有所医、工伤有保障、失业有救济的有效法定途径，有效缓解社会矛盾，实现社会稳定。</w:t>
      </w:r>
      <w:r>
        <w:rPr>
          <w:rFonts w:ascii="仿宋_GB2312" w:eastAsia="仿宋_GB2312" w:hAnsi="仿宋_GB2312" w:cs="仿宋_GB2312" w:hint="eastAsia"/>
          <w:color w:val="000000"/>
          <w:sz w:val="32"/>
          <w:szCs w:val="32"/>
          <w:shd w:val="clear" w:color="auto" w:fill="FFFFFF"/>
        </w:rPr>
        <w:t>工伤保险</w:t>
      </w:r>
      <w:r>
        <w:rPr>
          <w:rStyle w:val="a6"/>
          <w:rFonts w:ascii="仿宋_GB2312" w:eastAsia="仿宋_GB2312" w:hAnsi="仿宋_GB2312" w:cs="仿宋_GB2312" w:hint="eastAsia"/>
          <w:color w:val="000000"/>
          <w:sz w:val="32"/>
          <w:szCs w:val="32"/>
          <w:shd w:val="clear" w:color="auto" w:fill="FFFFFF"/>
        </w:rPr>
        <w:t>是社会</w:t>
      </w:r>
      <w:r>
        <w:rPr>
          <w:rStyle w:val="a6"/>
          <w:rFonts w:ascii="仿宋_GB2312" w:eastAsia="仿宋_GB2312" w:hAnsi="仿宋_GB2312" w:cs="仿宋_GB2312" w:hint="eastAsia"/>
          <w:bCs w:val="0"/>
          <w:color w:val="000000"/>
          <w:sz w:val="32"/>
          <w:szCs w:val="32"/>
          <w:shd w:val="clear" w:color="auto" w:fill="FFFFFF"/>
        </w:rPr>
        <w:t>保险的其中一项险种，</w:t>
      </w:r>
      <w:r>
        <w:rPr>
          <w:rFonts w:ascii="仿宋_GB2312" w:eastAsia="仿宋_GB2312" w:hAnsi="仿宋_GB2312" w:cs="仿宋_GB2312" w:hint="eastAsia"/>
          <w:color w:val="000000"/>
          <w:sz w:val="32"/>
          <w:szCs w:val="32"/>
          <w:shd w:val="clear" w:color="auto" w:fill="FFFFFF"/>
        </w:rPr>
        <w:t>通过省级统筹，建立工伤保险基金，由具有用人资质的单位进行缴纳。依法保障劳动者在生产经营活动中遭受意外伤害、职业病、死亡等情形合法权益。依法维护劳动者、用人单位的合法利益，是有效化解矛盾风险的一种</w:t>
      </w:r>
      <w:hyperlink r:id="rId7" w:tgtFrame="https://baike.so.com/doc/_blank" w:history="1">
        <w:r>
          <w:rPr>
            <w:rStyle w:val="a7"/>
            <w:rFonts w:ascii="仿宋_GB2312" w:eastAsia="仿宋_GB2312" w:hAnsi="仿宋_GB2312" w:cs="仿宋_GB2312" w:hint="eastAsia"/>
            <w:color w:val="000000"/>
            <w:sz w:val="32"/>
            <w:szCs w:val="32"/>
            <w:shd w:val="clear" w:color="auto" w:fill="FFFFFF"/>
          </w:rPr>
          <w:t>社会保障制度</w:t>
        </w:r>
      </w:hyperlink>
      <w:r>
        <w:rPr>
          <w:rFonts w:ascii="仿宋_GB2312" w:eastAsia="仿宋_GB2312" w:hAnsi="仿宋_GB2312" w:cs="仿宋_GB2312" w:hint="eastAsia"/>
          <w:color w:val="000000"/>
          <w:sz w:val="32"/>
          <w:szCs w:val="32"/>
          <w:shd w:val="clear" w:color="auto" w:fill="FFFFFF"/>
        </w:rPr>
        <w:t>。</w:t>
      </w:r>
    </w:p>
    <w:p w:rsidR="00783DE2" w:rsidRDefault="00783DE2" w:rsidP="00783DE2">
      <w:pPr>
        <w:snapToGrid w:val="0"/>
        <w:spacing w:line="560" w:lineRule="exact"/>
        <w:ind w:firstLineChars="200" w:firstLine="643"/>
        <w:jc w:val="left"/>
        <w:textAlignment w:val="auto"/>
        <w:rPr>
          <w:rStyle w:val="a6"/>
          <w:rFonts w:ascii="仿宋_GB2312" w:eastAsia="仿宋_GB2312" w:hAnsi="仿宋_GB2312" w:cs="仿宋_GB2312" w:hint="eastAsia"/>
          <w:bCs w:val="0"/>
          <w:color w:val="000000"/>
          <w:sz w:val="32"/>
          <w:szCs w:val="32"/>
        </w:rPr>
      </w:pPr>
      <w:r>
        <w:rPr>
          <w:rFonts w:ascii="仿宋_GB2312" w:eastAsia="仿宋_GB2312" w:hAnsi="仿宋_GB2312" w:cs="仿宋_GB2312" w:hint="eastAsia"/>
          <w:b/>
          <w:bCs/>
          <w:color w:val="000000"/>
          <w:sz w:val="32"/>
          <w:szCs w:val="32"/>
          <w:shd w:val="clear" w:color="auto" w:fill="FFFFFF"/>
        </w:rPr>
        <w:t>工伤保险用途:一是</w:t>
      </w:r>
      <w:r>
        <w:rPr>
          <w:rFonts w:ascii="仿宋_GB2312" w:eastAsia="仿宋_GB2312" w:hAnsi="仿宋_GB2312" w:cs="仿宋_GB2312" w:hint="eastAsia"/>
          <w:color w:val="000000"/>
          <w:sz w:val="32"/>
          <w:szCs w:val="32"/>
          <w:shd w:val="clear" w:color="auto" w:fill="FFFFFF"/>
        </w:rPr>
        <w:t>参保对象为行政、事业单位、企业等干部、工人及在岗人员，在生产经营及履行工作任务过程中遭遇</w:t>
      </w:r>
      <w:r>
        <w:rPr>
          <w:rFonts w:ascii="仿宋_GB2312" w:eastAsia="仿宋_GB2312" w:hAnsi="仿宋_GB2312" w:cs="仿宋_GB2312" w:hint="eastAsia"/>
          <w:color w:val="000000"/>
          <w:sz w:val="32"/>
          <w:szCs w:val="32"/>
          <w:shd w:val="clear" w:color="auto" w:fill="FFFFFF"/>
        </w:rPr>
        <w:lastRenderedPageBreak/>
        <w:t>伤害、职业病等可享受工伤保险基金赔偿待遇；二是工伤原则属于</w:t>
      </w:r>
      <w:hyperlink r:id="rId8" w:tgtFrame="https://baike.so.com/doc/_blank" w:history="1">
        <w:r>
          <w:rPr>
            <w:rStyle w:val="a7"/>
            <w:rFonts w:ascii="仿宋_GB2312" w:eastAsia="仿宋_GB2312" w:hAnsi="仿宋_GB2312" w:cs="仿宋_GB2312" w:hint="eastAsia"/>
            <w:color w:val="000000"/>
            <w:sz w:val="32"/>
            <w:szCs w:val="32"/>
            <w:shd w:val="clear" w:color="auto" w:fill="FFFFFF"/>
          </w:rPr>
          <w:t>无过错责任原则</w:t>
        </w:r>
      </w:hyperlink>
      <w:r>
        <w:rPr>
          <w:rFonts w:ascii="仿宋_GB2312" w:eastAsia="仿宋_GB2312" w:hAnsi="仿宋_GB2312" w:cs="仿宋_GB2312" w:hint="eastAsia"/>
          <w:color w:val="000000"/>
          <w:sz w:val="32"/>
          <w:szCs w:val="32"/>
          <w:shd w:val="clear" w:color="auto" w:fill="FFFFFF"/>
        </w:rPr>
        <w:t>，参加工伤保险可有效保障劳动者、降低用人单位成本有效化解矛盾；三是工伤保险与</w:t>
      </w:r>
      <w:hyperlink r:id="rId9" w:tgtFrame="https://baike.so.com/doc/_blank" w:history="1">
        <w:r>
          <w:rPr>
            <w:rStyle w:val="a7"/>
            <w:rFonts w:ascii="仿宋_GB2312" w:eastAsia="仿宋_GB2312" w:hAnsi="仿宋_GB2312" w:cs="仿宋_GB2312" w:hint="eastAsia"/>
            <w:color w:val="000000"/>
            <w:sz w:val="32"/>
            <w:szCs w:val="32"/>
            <w:shd w:val="clear" w:color="auto" w:fill="FFFFFF"/>
          </w:rPr>
          <w:t>养老保险</w:t>
        </w:r>
      </w:hyperlink>
      <w:r>
        <w:rPr>
          <w:rFonts w:ascii="仿宋_GB2312" w:eastAsia="仿宋_GB2312" w:hAnsi="仿宋_GB2312" w:cs="仿宋_GB2312" w:hint="eastAsia"/>
          <w:color w:val="000000"/>
          <w:sz w:val="32"/>
          <w:szCs w:val="32"/>
          <w:shd w:val="clear" w:color="auto" w:fill="FFFFFF"/>
        </w:rPr>
        <w:t>等不同，由用人单位按100%全额缴纳；四是工伤保险</w:t>
      </w:r>
      <w:hyperlink r:id="rId10" w:tgtFrame="https://baike.so.com/doc/_blank" w:history="1">
        <w:r>
          <w:rPr>
            <w:rStyle w:val="a7"/>
            <w:rFonts w:ascii="仿宋_GB2312" w:eastAsia="仿宋_GB2312" w:hAnsi="仿宋_GB2312" w:cs="仿宋_GB2312" w:hint="eastAsia"/>
            <w:color w:val="000000"/>
            <w:sz w:val="32"/>
            <w:szCs w:val="32"/>
            <w:shd w:val="clear" w:color="auto" w:fill="FFFFFF"/>
          </w:rPr>
          <w:t>待赔偿遇</w:t>
        </w:r>
      </w:hyperlink>
      <w:r>
        <w:rPr>
          <w:rFonts w:ascii="仿宋_GB2312" w:eastAsia="仿宋_GB2312" w:hAnsi="仿宋_GB2312" w:cs="仿宋_GB2312" w:hint="eastAsia"/>
          <w:color w:val="000000"/>
          <w:sz w:val="32"/>
          <w:szCs w:val="32"/>
          <w:shd w:val="clear" w:color="auto" w:fill="FFFFFF"/>
        </w:rPr>
        <w:t>标未设上限，对比商业保险有明显优势；五是工伤具有福利性，其保障内容比商业保险范围更广，作为国家实施政策兜底保障。</w:t>
      </w:r>
    </w:p>
    <w:p w:rsidR="00783DE2" w:rsidRDefault="00783DE2" w:rsidP="00783DE2">
      <w:pPr>
        <w:snapToGrid w:val="0"/>
        <w:spacing w:line="560" w:lineRule="exact"/>
        <w:ind w:firstLineChars="200" w:firstLine="643"/>
        <w:jc w:val="left"/>
        <w:textAlignment w:val="auto"/>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b/>
          <w:bCs/>
          <w:color w:val="000000"/>
          <w:kern w:val="0"/>
          <w:sz w:val="32"/>
          <w:szCs w:val="32"/>
        </w:rPr>
        <w:t>存在的主要问题：</w:t>
      </w:r>
      <w:r>
        <w:rPr>
          <w:rFonts w:ascii="仿宋_GB2312" w:eastAsia="仿宋_GB2312" w:hAnsi="仿宋_GB2312" w:cs="仿宋_GB2312" w:hint="eastAsia"/>
          <w:color w:val="000000"/>
          <w:kern w:val="0"/>
          <w:sz w:val="32"/>
          <w:szCs w:val="32"/>
        </w:rPr>
        <w:t>以黎平县为例，目前行政村（含社区）321个，由县级财政发放工资经费的村两委干部为2064人，平均每村干部有6人，含村党委支部书记兼主任、副主任、文书、村监委主任、宣传员、专职治安员等。其中60岁以上1858人，60岁以下236人。当前正处于巩固脱贫攻坚成果，推进和开创乡村振兴时期，基层一线村两委干部，工作任务十分艰巨，在执行工作受到伤害、死亡等，由于村级干部未纳入工伤保险范围，目前尚未有解决途径，受伤、死亡村级干部本人及其家属得不到有效保障。产生的医疗费用、伤残待遇（含因死亡）等落实遇到难题。同时，找不到承担责任的主体单位，伤者、死亡家属维权困难。容易挫伤村两委干部的工作积极性，甚至导致信访案件及社会矛盾的产生。2018至2020年我县受理咨询村两委干部受伤共10人，其中死亡4人。</w:t>
      </w:r>
    </w:p>
    <w:p w:rsidR="00783DE2" w:rsidRDefault="00783DE2" w:rsidP="00783DE2">
      <w:pPr>
        <w:snapToGrid w:val="0"/>
        <w:spacing w:line="560" w:lineRule="exact"/>
        <w:ind w:firstLineChars="200" w:firstLine="640"/>
        <w:jc w:val="left"/>
        <w:textAlignment w:val="auto"/>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color w:val="000000"/>
          <w:kern w:val="0"/>
          <w:sz w:val="32"/>
          <w:szCs w:val="32"/>
        </w:rPr>
        <w:t>关注基层村级干部的工伤保险参保问题，切实解决他们的后顾之忧，更有利于巩固脱贫攻坚成果同乡村振兴有效衔接。这项工作成本不高，社会效益明显。以黎平县为例，</w:t>
      </w:r>
      <w:r>
        <w:rPr>
          <w:rFonts w:ascii="仿宋_GB2312" w:eastAsia="仿宋_GB2312" w:hAnsi="仿宋_GB2312" w:cs="仿宋_GB2312" w:hint="eastAsia"/>
          <w:color w:val="000000"/>
          <w:sz w:val="32"/>
          <w:szCs w:val="32"/>
        </w:rPr>
        <w:t>村两委干</w:t>
      </w:r>
      <w:r>
        <w:rPr>
          <w:rFonts w:ascii="仿宋_GB2312" w:eastAsia="仿宋_GB2312" w:hAnsi="仿宋_GB2312" w:cs="仿宋_GB2312" w:hint="eastAsia"/>
          <w:color w:val="000000"/>
          <w:sz w:val="32"/>
          <w:szCs w:val="32"/>
        </w:rPr>
        <w:lastRenderedPageBreak/>
        <w:t>部共2064人，</w:t>
      </w:r>
      <w:r>
        <w:rPr>
          <w:rFonts w:ascii="仿宋_GB2312" w:eastAsia="仿宋_GB2312" w:hAnsi="仿宋_GB2312" w:cs="仿宋_GB2312" w:hint="eastAsia"/>
          <w:color w:val="000000"/>
          <w:kern w:val="0"/>
          <w:sz w:val="32"/>
          <w:szCs w:val="32"/>
        </w:rPr>
        <w:t>按2021年缴费费率和标准测算，共需缴费资金仅52.48万元，其中60以下1858人47.29万元（</w:t>
      </w:r>
      <w:r>
        <w:rPr>
          <w:rFonts w:ascii="仿宋_GB2312" w:eastAsia="仿宋_GB2312" w:hAnsi="仿宋_GB2312" w:cs="仿宋_GB2312" w:hint="eastAsia"/>
          <w:color w:val="000000"/>
          <w:sz w:val="32"/>
          <w:szCs w:val="32"/>
        </w:rPr>
        <w:t>村两委干部可参照列入国家机构和公务员等第一类行业类型人员参保，</w:t>
      </w:r>
      <w:r>
        <w:rPr>
          <w:rFonts w:ascii="仿宋_GB2312" w:eastAsia="仿宋_GB2312" w:hAnsi="仿宋_GB2312" w:cs="仿宋_GB2312" w:hint="eastAsia"/>
          <w:color w:val="000000"/>
          <w:kern w:val="0"/>
          <w:sz w:val="32"/>
          <w:szCs w:val="32"/>
        </w:rPr>
        <w:t>缴费标准每人每月缴纳21.21元,每年缴纳3.94万元）;60岁上236人参加缴费商业意外保险5.19万元（人均年缴费标准220元）。因此，</w:t>
      </w:r>
      <w:r>
        <w:rPr>
          <w:rFonts w:ascii="仿宋_GB2312" w:eastAsia="仿宋_GB2312" w:hAnsi="仿宋_GB2312" w:cs="仿宋_GB2312" w:hint="eastAsia"/>
          <w:b/>
          <w:bCs/>
          <w:color w:val="000000"/>
          <w:kern w:val="0"/>
          <w:sz w:val="32"/>
          <w:szCs w:val="32"/>
        </w:rPr>
        <w:t>建议州委州政府制定出台相关政策，建立以乡镇、街道作为用人主体责任单位，将基层一线村干部纳入工伤保险。一是将60岁以下符合用工年龄的村委干部纳入国家工伤保险保障范围；二是将60岁以上村干部纳入商业意外保险参保。这样既能体现政府部门对基层干部的关心关爱，又能节约伤后赔付待遇支出，使基层村级干部获得最大限度的工作保障。</w:t>
      </w:r>
    </w:p>
    <w:p w:rsidR="004B1045" w:rsidRPr="00783DE2" w:rsidRDefault="004B1045">
      <w:pPr>
        <w:spacing w:line="560" w:lineRule="exact"/>
        <w:ind w:firstLineChars="200" w:firstLine="640"/>
        <w:rPr>
          <w:rFonts w:ascii="仿宋" w:eastAsia="仿宋" w:hAnsi="仿宋" w:cs="仿宋"/>
          <w:color w:val="333333"/>
          <w:sz w:val="32"/>
          <w:szCs w:val="32"/>
          <w:shd w:val="clear" w:color="auto" w:fill="FFFFFF"/>
        </w:rPr>
      </w:pPr>
    </w:p>
    <w:p w:rsidR="004B1045" w:rsidRDefault="004B1045">
      <w:pPr>
        <w:spacing w:line="560" w:lineRule="exact"/>
        <w:ind w:firstLineChars="200" w:firstLine="640"/>
        <w:rPr>
          <w:rFonts w:ascii="仿宋" w:eastAsia="仿宋" w:hAnsi="仿宋" w:cs="仿宋"/>
          <w:color w:val="333333"/>
          <w:sz w:val="32"/>
          <w:szCs w:val="32"/>
          <w:shd w:val="clear" w:color="auto" w:fill="FFFFFF"/>
        </w:rPr>
      </w:pPr>
    </w:p>
    <w:p w:rsidR="004B1045" w:rsidRDefault="00EF7EFC">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4B1045" w:rsidRDefault="00EF7EFC">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4B1045" w:rsidSect="004B1045">
      <w:headerReference w:type="default" r:id="rId11"/>
      <w:footerReference w:type="default" r:id="rId12"/>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EFC" w:rsidRDefault="00EF7EFC" w:rsidP="004B1045">
      <w:r>
        <w:separator/>
      </w:r>
    </w:p>
  </w:endnote>
  <w:endnote w:type="continuationSeparator" w:id="1">
    <w:p w:rsidR="00EF7EFC" w:rsidRDefault="00EF7EFC" w:rsidP="004B10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4B1045" w:rsidRDefault="004B1045">
        <w:pPr>
          <w:pStyle w:val="a3"/>
          <w:jc w:val="center"/>
        </w:pPr>
        <w:r w:rsidRPr="004B1045">
          <w:fldChar w:fldCharType="begin"/>
        </w:r>
        <w:r w:rsidR="00EF7EFC">
          <w:instrText xml:space="preserve"> PAGE   \* MERGEFORMAT </w:instrText>
        </w:r>
        <w:r w:rsidRPr="004B1045">
          <w:fldChar w:fldCharType="separate"/>
        </w:r>
        <w:r w:rsidR="00783DE2" w:rsidRPr="00783DE2">
          <w:rPr>
            <w:noProof/>
            <w:lang w:val="zh-CN"/>
          </w:rPr>
          <w:t>1</w:t>
        </w:r>
        <w:r>
          <w:rPr>
            <w:lang w:val="zh-CN"/>
          </w:rPr>
          <w:fldChar w:fldCharType="end"/>
        </w:r>
      </w:p>
    </w:sdtContent>
  </w:sdt>
  <w:p w:rsidR="004B1045" w:rsidRDefault="004B10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EFC" w:rsidRDefault="00EF7EFC" w:rsidP="004B1045">
      <w:r>
        <w:separator/>
      </w:r>
    </w:p>
  </w:footnote>
  <w:footnote w:type="continuationSeparator" w:id="1">
    <w:p w:rsidR="00EF7EFC" w:rsidRDefault="00EF7EFC" w:rsidP="004B1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45" w:rsidRDefault="004B1045">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62089"/>
    <w:rsid w:val="002F6404"/>
    <w:rsid w:val="00372D70"/>
    <w:rsid w:val="004B1045"/>
    <w:rsid w:val="004D0222"/>
    <w:rsid w:val="004E6BC5"/>
    <w:rsid w:val="00507FB8"/>
    <w:rsid w:val="00551F39"/>
    <w:rsid w:val="00554776"/>
    <w:rsid w:val="00654375"/>
    <w:rsid w:val="007055DB"/>
    <w:rsid w:val="00783DE2"/>
    <w:rsid w:val="007D1DFD"/>
    <w:rsid w:val="00840276"/>
    <w:rsid w:val="008A6967"/>
    <w:rsid w:val="008E32D7"/>
    <w:rsid w:val="008E5289"/>
    <w:rsid w:val="00A351EC"/>
    <w:rsid w:val="00A75BD7"/>
    <w:rsid w:val="00A94399"/>
    <w:rsid w:val="00A97C93"/>
    <w:rsid w:val="00C76ECC"/>
    <w:rsid w:val="00D123BF"/>
    <w:rsid w:val="00DD129A"/>
    <w:rsid w:val="00EA1493"/>
    <w:rsid w:val="00EF7EFC"/>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045"/>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B1045"/>
    <w:pPr>
      <w:snapToGrid w:val="0"/>
      <w:jc w:val="left"/>
    </w:pPr>
    <w:rPr>
      <w:sz w:val="18"/>
      <w:szCs w:val="18"/>
    </w:rPr>
  </w:style>
  <w:style w:type="paragraph" w:styleId="a4">
    <w:name w:val="header"/>
    <w:basedOn w:val="a"/>
    <w:qFormat/>
    <w:rsid w:val="004B1045"/>
    <w:pPr>
      <w:pBdr>
        <w:bottom w:val="single" w:sz="6" w:space="0" w:color="000000"/>
      </w:pBdr>
      <w:snapToGrid w:val="0"/>
      <w:jc w:val="center"/>
    </w:pPr>
    <w:rPr>
      <w:sz w:val="18"/>
      <w:szCs w:val="18"/>
    </w:rPr>
  </w:style>
  <w:style w:type="paragraph" w:styleId="a5">
    <w:name w:val="Normal (Web)"/>
    <w:basedOn w:val="a"/>
    <w:qFormat/>
    <w:rsid w:val="004B1045"/>
    <w:pPr>
      <w:spacing w:beforeAutospacing="1" w:afterAutospacing="1"/>
      <w:jc w:val="left"/>
    </w:pPr>
    <w:rPr>
      <w:kern w:val="0"/>
      <w:sz w:val="24"/>
    </w:rPr>
  </w:style>
  <w:style w:type="character" w:styleId="a6">
    <w:name w:val="Strong"/>
    <w:qFormat/>
    <w:rsid w:val="004B1045"/>
    <w:rPr>
      <w:rFonts w:cs="Times New Roman"/>
      <w:b/>
      <w:bCs/>
    </w:rPr>
  </w:style>
  <w:style w:type="character" w:styleId="a7">
    <w:name w:val="Hyperlink"/>
    <w:basedOn w:val="NormalCharacter"/>
    <w:semiHidden/>
    <w:qFormat/>
    <w:rsid w:val="004B1045"/>
    <w:rPr>
      <w:color w:val="0000FF"/>
      <w:u w:val="single"/>
    </w:rPr>
  </w:style>
  <w:style w:type="character" w:customStyle="1" w:styleId="NormalCharacter">
    <w:name w:val="NormalCharacter"/>
    <w:semiHidden/>
    <w:qFormat/>
    <w:rsid w:val="004B1045"/>
  </w:style>
  <w:style w:type="paragraph" w:customStyle="1" w:styleId="Heading1">
    <w:name w:val="Heading1"/>
    <w:basedOn w:val="a"/>
    <w:link w:val="UserStyle3"/>
    <w:qFormat/>
    <w:rsid w:val="004B1045"/>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4B1045"/>
    <w:tblPr>
      <w:tblCellMar>
        <w:top w:w="0" w:type="dxa"/>
        <w:left w:w="0" w:type="dxa"/>
        <w:bottom w:w="0" w:type="dxa"/>
        <w:right w:w="0" w:type="dxa"/>
      </w:tblCellMar>
    </w:tblPr>
  </w:style>
  <w:style w:type="paragraph" w:customStyle="1" w:styleId="Acetate">
    <w:name w:val="Acetate"/>
    <w:basedOn w:val="a"/>
    <w:qFormat/>
    <w:rsid w:val="004B1045"/>
    <w:rPr>
      <w:sz w:val="18"/>
      <w:szCs w:val="18"/>
    </w:rPr>
  </w:style>
  <w:style w:type="paragraph" w:customStyle="1" w:styleId="UserStyle0">
    <w:name w:val="UserStyle_0"/>
    <w:basedOn w:val="a"/>
    <w:qFormat/>
    <w:rsid w:val="004B1045"/>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4B1045"/>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4B1045"/>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4B1045"/>
    <w:rPr>
      <w:rFonts w:ascii="宋体" w:hAnsi="宋体" w:cs="宋体"/>
      <w:b/>
      <w:bCs/>
      <w:kern w:val="36"/>
      <w:sz w:val="48"/>
      <w:szCs w:val="48"/>
    </w:rPr>
  </w:style>
  <w:style w:type="character" w:customStyle="1" w:styleId="UserStyle4">
    <w:name w:val="UserStyle_4"/>
    <w:basedOn w:val="NormalCharacter"/>
    <w:qFormat/>
    <w:rsid w:val="004B1045"/>
  </w:style>
  <w:style w:type="paragraph" w:customStyle="1" w:styleId="HtmlNormal">
    <w:name w:val="HtmlNormal"/>
    <w:basedOn w:val="a"/>
    <w:semiHidden/>
    <w:qFormat/>
    <w:rsid w:val="004B1045"/>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4B1045"/>
    <w:rPr>
      <w:rFonts w:cstheme="minorBidi"/>
      <w:kern w:val="2"/>
      <w:sz w:val="18"/>
      <w:szCs w:val="18"/>
    </w:rPr>
  </w:style>
  <w:style w:type="paragraph" w:styleId="a8">
    <w:name w:val="Balloon Text"/>
    <w:basedOn w:val="a"/>
    <w:link w:val="Char0"/>
    <w:rsid w:val="00783DE2"/>
    <w:rPr>
      <w:sz w:val="18"/>
      <w:szCs w:val="18"/>
    </w:rPr>
  </w:style>
  <w:style w:type="character" w:customStyle="1" w:styleId="Char0">
    <w:name w:val="批注框文本 Char"/>
    <w:basedOn w:val="a0"/>
    <w:link w:val="a8"/>
    <w:rsid w:val="00783DE2"/>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5254384-548772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2776134-2930207.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ike.so.com/doc/6126853-6340013.html" TargetMode="External"/><Relationship Id="rId4" Type="http://schemas.openxmlformats.org/officeDocument/2006/relationships/webSettings" Target="webSettings.xml"/><Relationship Id="rId9" Type="http://schemas.openxmlformats.org/officeDocument/2006/relationships/hyperlink" Target="https://baike.so.com/doc/453602-480322.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1763</Characters>
  <Application>Microsoft Office Word</Application>
  <DocSecurity>0</DocSecurity>
  <Lines>14</Lines>
  <Paragraphs>4</Paragraphs>
  <ScaleCrop>false</ScaleCrop>
  <Company>Micorosoft</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2022-01-05T01:13:00Z</dcterms:created>
  <dcterms:modified xsi:type="dcterms:W3CDTF">2022-01-05T01:13:00Z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