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039</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类别：政治建设类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Fonts w:hint="default" w:ascii="Times New Roman" w:hAnsi="Times New Roman" w:eastAsia="宋体" w:cs="Times New Roman"/>
                <w:b/>
                <w:bCs/>
                <w:kern w:val="0"/>
                <w:sz w:val="24"/>
              </w:rPr>
              <w:t>关于抓实宣传思想工作助力乡村振兴的建议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kern w:val="0"/>
                <w:sz w:val="24"/>
                <w:lang w:val="en-US" w:eastAsia="zh-CN"/>
              </w:rPr>
            </w:pPr>
            <w:r>
              <w:rPr>
                <w:rStyle w:val="12"/>
                <w:rFonts w:hint="eastAsia" w:ascii="宋体" w:hAnsi="宋体"/>
                <w:kern w:val="0"/>
                <w:sz w:val="24"/>
                <w:lang w:eastAsia="zh-CN"/>
              </w:rPr>
              <w:t>主办：州委宣传部</w:t>
            </w:r>
            <w:r>
              <w:rPr>
                <w:rStyle w:val="12"/>
                <w:rFonts w:hint="eastAsia" w:ascii="宋体" w:hAnsi="宋体"/>
                <w:kern w:val="0"/>
                <w:sz w:val="24"/>
                <w:lang w:val="en-US" w:eastAsia="zh-CN"/>
              </w:rPr>
              <w:t xml:space="preserve">    会办：</w:t>
            </w:r>
            <w:r>
              <w:rPr>
                <w:rStyle w:val="12"/>
                <w:rFonts w:hint="eastAsia" w:ascii="宋体" w:hAnsi="宋体"/>
                <w:kern w:val="0"/>
                <w:sz w:val="22"/>
                <w:szCs w:val="22"/>
                <w:lang w:val="en-US" w:eastAsia="zh-CN"/>
              </w:rPr>
              <w:t>州融媒体中心、州文广局、州民宗委、州民政局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hint="eastAsia" w:ascii="黑体" w:hAnsi="宋体" w:eastAsia="黑体" w:cs="宋体"/>
                <w:b/>
                <w:bCs/>
                <w:kern w:val="0"/>
                <w:sz w:val="24"/>
                <w:lang w:val="en-US" w:eastAsia="zh-CN"/>
              </w:rPr>
              <w:t xml:space="preserve"> </w:t>
            </w:r>
            <w:r>
              <w:rPr>
                <w:rStyle w:val="12"/>
                <w:rFonts w:ascii="黑体" w:hAnsi="宋体" w:eastAsia="黑体" w:cs="宋体"/>
                <w:b/>
                <w:bCs/>
                <w:kern w:val="0"/>
                <w:sz w:val="24"/>
              </w:rPr>
              <w:t>案</w:t>
            </w:r>
            <w:r>
              <w:rPr>
                <w:rStyle w:val="12"/>
                <w:rFonts w:hint="eastAsia" w:ascii="黑体" w:hAnsi="宋体" w:eastAsia="黑体" w:cs="宋体"/>
                <w:b/>
                <w:bCs/>
                <w:kern w:val="0"/>
                <w:sz w:val="24"/>
                <w:lang w:val="en-US" w:eastAsia="zh-CN"/>
              </w:rPr>
              <w:t xml:space="preserve"> </w:t>
            </w:r>
            <w:r>
              <w:rPr>
                <w:rStyle w:val="12"/>
                <w:rFonts w:ascii="黑体" w:hAnsi="宋体" w:eastAsia="黑体" w:cs="宋体"/>
                <w:b/>
                <w:bCs/>
                <w:kern w:val="0"/>
                <w:sz w:val="24"/>
              </w:rPr>
              <w:t>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宋体" w:hAnsi="宋体"/>
                <w:kern w:val="0"/>
                <w:sz w:val="24"/>
                <w:lang w:eastAsia="zh-CN"/>
              </w:rPr>
              <w:t>李晓红</w:t>
            </w:r>
          </w:p>
        </w:tc>
        <w:tc>
          <w:tcPr>
            <w:tcW w:w="3872" w:type="dxa"/>
            <w:vAlign w:val="center"/>
          </w:tcPr>
          <w:p>
            <w:pPr>
              <w:jc w:val="left"/>
              <w:rPr>
                <w:rStyle w:val="12"/>
                <w:rFonts w:hint="default" w:ascii="宋体" w:hAnsi="宋体" w:eastAsia="宋体"/>
                <w:kern w:val="0"/>
                <w:sz w:val="24"/>
                <w:lang w:val="en-US" w:eastAsia="zh-CN"/>
              </w:rPr>
            </w:pPr>
            <w:r>
              <w:rPr>
                <w:rFonts w:hint="eastAsia" w:cs="Times New Roman"/>
                <w:kern w:val="0"/>
                <w:sz w:val="21"/>
                <w:szCs w:val="21"/>
                <w:lang w:eastAsia="zh-CN"/>
              </w:rPr>
              <w:t>凯里市文化北路</w:t>
            </w:r>
            <w:r>
              <w:rPr>
                <w:rFonts w:hint="eastAsia" w:cs="Times New Roman"/>
                <w:kern w:val="0"/>
                <w:sz w:val="21"/>
                <w:szCs w:val="21"/>
                <w:lang w:val="en-US" w:eastAsia="zh-CN"/>
              </w:rPr>
              <w:t>15号</w:t>
            </w:r>
          </w:p>
        </w:tc>
        <w:tc>
          <w:tcPr>
            <w:tcW w:w="1440" w:type="dxa"/>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val="en-US" w:eastAsia="zh-CN"/>
              </w:rPr>
              <w:t>556000</w:t>
            </w:r>
          </w:p>
        </w:tc>
        <w:tc>
          <w:tcPr>
            <w:tcW w:w="1485" w:type="dxa"/>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val="en-US" w:eastAsia="zh-CN"/>
              </w:rPr>
              <w:t>15086248689</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乡村要振兴，宣传必先行。农村各项工作滞后，很大程度上是因为农村思想文化工作相对落后，信息相对闭塞，农民生产生活观念得不到及时更新，尤其是少数民族地区信息更加闭塞，以致于农民主观能动性得不到充分发挥，各种资源得不到合理配置和有效利用。</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在推进乡村振兴过程中，能不能做好新形势下农村宣传思想工作，事关农村科学发展和农民安居乐业，抓好宣传思想工作必将为乡村振兴战略的实施注入强大的生命力与战斗力。</w:t>
      </w:r>
    </w:p>
    <w:p>
      <w:pPr>
        <w:spacing w:line="560" w:lineRule="exact"/>
        <w:ind w:left="0" w:leftChars="0" w:firstLine="640" w:firstLineChars="200"/>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建议：</w:t>
      </w:r>
    </w:p>
    <w:p>
      <w:pPr>
        <w:spacing w:line="560" w:lineRule="exact"/>
        <w:ind w:left="0" w:leftChars="0" w:firstLine="643" w:firstLineChars="200"/>
        <w:rPr>
          <w:rStyle w:val="12"/>
          <w:rFonts w:hint="eastAsia" w:ascii="仿宋_GB2312" w:hAnsi="宋体" w:eastAsia="仿宋_GB2312"/>
          <w:kern w:val="0"/>
          <w:sz w:val="32"/>
          <w:szCs w:val="32"/>
        </w:rPr>
      </w:pPr>
      <w:r>
        <w:rPr>
          <w:rStyle w:val="12"/>
          <w:rFonts w:hint="eastAsia" w:ascii="仿宋_GB2312" w:hAnsi="宋体" w:eastAsia="仿宋_GB2312"/>
          <w:b/>
          <w:bCs/>
          <w:kern w:val="0"/>
          <w:sz w:val="32"/>
          <w:szCs w:val="32"/>
        </w:rPr>
        <w:t xml:space="preserve"> 一是配齐、配精、配强宣传队伍。</w:t>
      </w:r>
      <w:r>
        <w:rPr>
          <w:rStyle w:val="12"/>
          <w:rFonts w:hint="eastAsia" w:ascii="仿宋_GB2312" w:hAnsi="宋体" w:eastAsia="仿宋_GB2312"/>
          <w:kern w:val="0"/>
          <w:sz w:val="32"/>
          <w:szCs w:val="32"/>
        </w:rPr>
        <w:t>各级宣传部门要推动宣传思想工作重心向农村倾斜，围绕推动落实乡村振兴战略，科学制定农村宣传思想工作规划，配齐村级宣传专业队伍，不仅要齐，要精，还要强。一是培训、选调、重用一批懂政策、能讲解、会宣传的优秀人才，向农村特别是边远山区（村）派驻专职宣传干部，将最新政策理念、政策举措、先进思想文化潜移默化地传递给农村百姓，为乡村振兴扫清思想障碍；二是充分利用乡贤、寨老的力量，在村内培养青年人才、创新性人才，发挥自身作用，让基层宣传思想工作真正做强。</w:t>
      </w:r>
    </w:p>
    <w:p>
      <w:pPr>
        <w:spacing w:line="560" w:lineRule="exact"/>
        <w:ind w:left="0" w:leftChars="0" w:firstLine="643" w:firstLineChars="200"/>
        <w:rPr>
          <w:rStyle w:val="12"/>
          <w:rFonts w:hint="eastAsia" w:ascii="仿宋_GB2312" w:hAnsi="宋体" w:eastAsia="仿宋_GB2312"/>
          <w:kern w:val="0"/>
          <w:sz w:val="32"/>
          <w:szCs w:val="32"/>
        </w:rPr>
      </w:pPr>
      <w:r>
        <w:rPr>
          <w:rStyle w:val="12"/>
          <w:rFonts w:hint="eastAsia" w:ascii="仿宋_GB2312" w:hAnsi="宋体" w:eastAsia="仿宋_GB2312"/>
          <w:b/>
          <w:bCs/>
          <w:kern w:val="0"/>
          <w:sz w:val="32"/>
          <w:szCs w:val="32"/>
        </w:rPr>
        <w:t>二是转变思想宣传工作方式</w:t>
      </w:r>
      <w:r>
        <w:rPr>
          <w:rStyle w:val="12"/>
          <w:rFonts w:hint="eastAsia" w:ascii="仿宋_GB2312" w:hAnsi="宋体" w:eastAsia="仿宋_GB2312"/>
          <w:b/>
          <w:bCs/>
          <w:kern w:val="0"/>
          <w:sz w:val="32"/>
          <w:szCs w:val="32"/>
          <w:lang w:eastAsia="zh-CN"/>
        </w:rPr>
        <w:t>。</w:t>
      </w:r>
      <w:r>
        <w:rPr>
          <w:rStyle w:val="12"/>
          <w:rFonts w:hint="eastAsia" w:ascii="仿宋_GB2312" w:hAnsi="宋体" w:eastAsia="仿宋_GB2312"/>
          <w:kern w:val="0"/>
          <w:sz w:val="32"/>
          <w:szCs w:val="32"/>
        </w:rPr>
        <w:t>把宣传思想工作同农村实际紧密结合。推进乡村振兴发展，不仅要让老百姓物质生活上富裕，更要做到精神上的富足、生活环境的改变、生活方式的转变。如何变，关键在思想，要让宣传思想工作走进百姓内心，让他们从自身转变观念，提升内生动力。因此，一是在做宣传思想工作时，要精心准备，侧重宣传与群众利益息息相关的政策理论，通过以点带面做到全面宣传；二是把原文原著同群众语言相结合，民族地区立足“双语”或“多语”抓宣传，根据群众的特点，将党的理论原文原著用群众能够听得懂、理解得了的语言讲出来。三是用老百姓听得懂的方式来宣传，用百姓身边人、身边事来教育百姓，让宣传的政策思想变故事、变视频，让宣传思想工作活起来。四是，充分运用各种新闻媒体，尤其是广播、电视、手机、网络这四种农村百姓获取信息最多的平台，通俗易懂地宣传好“三农”政策、讲述好“三农”故事、传播好“三农”声音，将虚事做实、实事做透，全面凝聚起推动“三农”发展的正能量。</w:t>
      </w:r>
    </w:p>
    <w:p>
      <w:pPr>
        <w:spacing w:line="560" w:lineRule="exact"/>
        <w:ind w:left="0" w:leftChars="0" w:firstLine="643" w:firstLineChars="200"/>
        <w:rPr>
          <w:rStyle w:val="12"/>
          <w:rFonts w:hint="eastAsia" w:ascii="仿宋_GB2312" w:hAnsi="宋体" w:eastAsia="仿宋_GB2312"/>
          <w:kern w:val="0"/>
          <w:sz w:val="32"/>
          <w:szCs w:val="32"/>
        </w:rPr>
      </w:pPr>
      <w:r>
        <w:rPr>
          <w:rStyle w:val="12"/>
          <w:rFonts w:hint="eastAsia" w:ascii="仿宋_GB2312" w:hAnsi="宋体" w:eastAsia="仿宋_GB2312"/>
          <w:b/>
          <w:bCs/>
          <w:kern w:val="0"/>
          <w:sz w:val="32"/>
          <w:szCs w:val="32"/>
        </w:rPr>
        <w:t>三是精心打造新农村宣传思想文化阵地。</w:t>
      </w:r>
      <w:r>
        <w:rPr>
          <w:rStyle w:val="12"/>
          <w:rFonts w:hint="eastAsia" w:ascii="仿宋_GB2312" w:hAnsi="宋体" w:eastAsia="仿宋_GB2312"/>
          <w:kern w:val="0"/>
          <w:sz w:val="32"/>
          <w:szCs w:val="32"/>
        </w:rPr>
        <w:t>着力引导农村惠民资金因地制宜建设群众文体设施，深入推进农村文化礼堂建设大力推动乡村文化振兴，增强农村群众的幸福感、获得感；充分运用农村广播、农村夜校、农村书屋、传统节庆等载体和形式，对接时代发展和政策需要，不断更新宣传内容，真正推动社会主义思想理念、先进文化和精神文明在农村生根发芽，持续为乡村振兴提供智力支持、精神动力和思想保证。</w:t>
      </w:r>
    </w:p>
    <w:p>
      <w:pPr>
        <w:spacing w:line="560" w:lineRule="exact"/>
        <w:ind w:left="0" w:leftChars="0" w:firstLine="643" w:firstLineChars="200"/>
        <w:rPr>
          <w:rStyle w:val="12"/>
          <w:rFonts w:hint="eastAsia" w:ascii="仿宋_GB2312" w:hAnsi="宋体" w:eastAsia="仿宋_GB2312"/>
          <w:kern w:val="0"/>
          <w:sz w:val="32"/>
          <w:szCs w:val="32"/>
        </w:rPr>
      </w:pPr>
      <w:r>
        <w:rPr>
          <w:rStyle w:val="12"/>
          <w:rFonts w:hint="eastAsia" w:ascii="仿宋_GB2312" w:hAnsi="宋体" w:eastAsia="仿宋_GB2312"/>
          <w:b/>
          <w:bCs/>
          <w:kern w:val="0"/>
          <w:sz w:val="32"/>
          <w:szCs w:val="32"/>
        </w:rPr>
        <w:t>四是善用正面思想舆论“刷新”农民思想观念。</w:t>
      </w:r>
      <w:r>
        <w:rPr>
          <w:rStyle w:val="12"/>
          <w:rFonts w:hint="eastAsia" w:ascii="仿宋_GB2312" w:hAnsi="宋体" w:eastAsia="仿宋_GB2312"/>
          <w:kern w:val="0"/>
          <w:sz w:val="32"/>
          <w:szCs w:val="32"/>
        </w:rPr>
        <w:t>活用文化文明新风“涤除”农村传统旧习，着力培育文明乡风、良好家风、淳朴民风，推进乡风文明建设助力乡村文化振兴。一是强化农村致富带头人、返乡创业致富典型等身教力行的示范作用、倍增效应；二是大力宣传、表彰乡风文明创建活动中涌现出来的先进典型，充分发挥先进典型的引领作用，着力传承培育优良家风，积极推动文明乡风的形成；三是大力宣传、弘扬优秀传统文化和传统美德，树立勤劳节俭、讲究卫生、孝敬父母、邻里和谐的乡风民风，激发人民群众的积极性主动性创造性，更好地发挥乡村振兴的主体作用。通过各种方式推动村民自我管理、自我约束、从思想上充分认识乡风文明建设的重要性，从而成为美丽乡村建设的“代言人”和乡村文明的“传播者”。</w:t>
      </w:r>
    </w:p>
    <w:p>
      <w:pPr>
        <w:spacing w:line="560" w:lineRule="exact"/>
        <w:ind w:left="0" w:leftChars="0" w:firstLine="640" w:firstLineChars="200"/>
        <w:rPr>
          <w:rStyle w:val="12"/>
          <w:rFonts w:hint="eastAsia" w:ascii="仿宋_GB2312" w:hAnsi="宋体" w:eastAsia="仿宋_GB2312"/>
          <w:kern w:val="0"/>
          <w:sz w:val="32"/>
          <w:szCs w:val="32"/>
          <w:lang w:val="en-US" w:eastAsia="zh-CN"/>
        </w:rPr>
      </w:pPr>
      <w:r>
        <w:rPr>
          <w:rStyle w:val="12"/>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2"/>
          <w:rFonts w:hint="default" w:ascii="仿宋_GB2312" w:hAnsi="宋体" w:eastAsia="仿宋_GB2312"/>
          <w:kern w:val="0"/>
          <w:sz w:val="32"/>
          <w:szCs w:val="32"/>
          <w:lang w:val="en-US" w:eastAsia="zh-CN"/>
        </w:rPr>
      </w:pPr>
      <w:r>
        <w:rPr>
          <w:rStyle w:val="12"/>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4727264"/>
    <w:rsid w:val="29EB237C"/>
    <w:rsid w:val="2FD84B80"/>
    <w:rsid w:val="30B878C9"/>
    <w:rsid w:val="33552650"/>
    <w:rsid w:val="377737A4"/>
    <w:rsid w:val="38D60616"/>
    <w:rsid w:val="3A7B4D73"/>
    <w:rsid w:val="3DF46F5E"/>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7C1F064D"/>
    <w:rsid w:val="CCB7A82E"/>
    <w:rsid w:val="FFEBA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2"/>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5"/>
    <w:qFormat/>
    <w:uiPriority w:val="99"/>
    <w:rPr>
      <w:rFonts w:cstheme="minorBidi"/>
      <w:kern w:val="2"/>
      <w:sz w:val="18"/>
      <w:szCs w:val="18"/>
    </w:rPr>
  </w:style>
  <w:style w:type="paragraph" w:customStyle="1" w:styleId="23">
    <w:name w:val="正文-公1"/>
    <w:basedOn w:val="1"/>
    <w:qFormat/>
    <w:uiPriority w:val="99"/>
    <w:pPr>
      <w:ind w:firstLine="200" w:firstLineChars="200"/>
    </w:pPr>
    <w:rPr>
      <w:rFonts w:ascii="Calibri" w:hAnsi="Calibri"/>
    </w:rPr>
  </w:style>
  <w:style w:type="paragraph" w:customStyle="1" w:styleId="24">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丘丘</cp:lastModifiedBy>
  <cp:lastPrinted>2022-01-05T18:33:00Z</cp:lastPrinted>
  <dcterms:modified xsi:type="dcterms:W3CDTF">2022-01-08T04:17:59Z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