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600" w:lineRule="exact"/>
        <w:jc w:val="center"/>
        <w:rPr>
          <w:rStyle w:val="9"/>
          <w:rFonts w:ascii="黑体" w:eastAsia="黑体"/>
          <w:sz w:val="44"/>
          <w:szCs w:val="44"/>
        </w:rPr>
      </w:pPr>
      <w:r>
        <w:rPr>
          <w:rStyle w:val="7"/>
          <w:rFonts w:ascii="黑体" w:eastAsia="黑体" w:cs="宋体"/>
          <w:sz w:val="44"/>
          <w:szCs w:val="44"/>
        </w:rPr>
        <w:t>中国人民政治协商会议</w:t>
      </w:r>
    </w:p>
    <w:p>
      <w:pPr>
        <w:pStyle w:val="13"/>
        <w:spacing w:before="0" w:beforeAutospacing="0" w:after="0" w:afterAutospacing="0" w:line="600" w:lineRule="exact"/>
        <w:jc w:val="center"/>
        <w:rPr>
          <w:rStyle w:val="9"/>
          <w:rFonts w:hint="eastAsia"/>
          <w:sz w:val="44"/>
          <w:szCs w:val="44"/>
        </w:rPr>
      </w:pPr>
      <w:r>
        <w:rPr>
          <w:rStyle w:val="9"/>
          <w:sz w:val="44"/>
          <w:szCs w:val="44"/>
        </w:rPr>
        <w:t>黔东南苗族侗族自治州委员会</w:t>
      </w:r>
    </w:p>
    <w:p>
      <w:pPr>
        <w:pStyle w:val="13"/>
        <w:spacing w:before="0" w:beforeAutospacing="0" w:after="0" w:afterAutospacing="0" w:line="600" w:lineRule="exact"/>
        <w:jc w:val="center"/>
        <w:rPr>
          <w:rStyle w:val="9"/>
          <w:rFonts w:hint="eastAsia"/>
          <w:sz w:val="44"/>
          <w:szCs w:val="44"/>
        </w:rPr>
      </w:pPr>
      <w:r>
        <w:rPr>
          <w:rStyle w:val="9"/>
          <w:sz w:val="44"/>
          <w:szCs w:val="44"/>
        </w:rPr>
        <w:t>提</w:t>
      </w:r>
      <w:r>
        <w:rPr>
          <w:rStyle w:val="9"/>
          <w:rFonts w:hint="eastAsia"/>
          <w:sz w:val="44"/>
          <w:szCs w:val="44"/>
        </w:rPr>
        <w:t xml:space="preserve">   </w:t>
      </w:r>
      <w:r>
        <w:rPr>
          <w:rStyle w:val="9"/>
          <w:sz w:val="44"/>
          <w:szCs w:val="44"/>
        </w:rPr>
        <w:t>案</w:t>
      </w:r>
    </w:p>
    <w:p>
      <w:pPr>
        <w:spacing w:line="320" w:lineRule="exact"/>
        <w:jc w:val="center"/>
        <w:textAlignment w:val="top"/>
        <w:rPr>
          <w:rStyle w:val="9"/>
          <w:rFonts w:hint="eastAsia" w:ascii="宋体" w:hAnsi="宋体"/>
          <w:kern w:val="0"/>
          <w:sz w:val="24"/>
        </w:rPr>
      </w:pPr>
    </w:p>
    <w:p>
      <w:pPr>
        <w:spacing w:line="320" w:lineRule="exact"/>
        <w:jc w:val="center"/>
        <w:textAlignment w:val="top"/>
        <w:rPr>
          <w:rStyle w:val="9"/>
          <w:rFonts w:hint="eastAsia" w:ascii="宋体" w:hAnsi="宋体"/>
          <w:kern w:val="0"/>
          <w:sz w:val="24"/>
        </w:rPr>
      </w:pPr>
    </w:p>
    <w:p>
      <w:pPr>
        <w:spacing w:line="760" w:lineRule="exact"/>
        <w:jc w:val="both"/>
        <w:textAlignment w:val="top"/>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9"/>
          <w:rFonts w:hint="default" w:ascii="宋体" w:hAnsi="宋体" w:eastAsia="宋体"/>
          <w:kern w:val="0"/>
          <w:sz w:val="24"/>
          <w:lang w:val="en-US" w:eastAsia="zh-CN"/>
        </w:rPr>
      </w:pPr>
      <w:r>
        <w:rPr>
          <w:rStyle w:val="9"/>
          <w:rFonts w:ascii="宋体" w:hAnsi="宋体"/>
          <w:kern w:val="0"/>
          <w:sz w:val="24"/>
        </w:rPr>
        <w:t>第十</w:t>
      </w:r>
      <w:r>
        <w:rPr>
          <w:rStyle w:val="9"/>
          <w:rFonts w:hint="eastAsia" w:ascii="宋体" w:hAnsi="宋体"/>
          <w:kern w:val="0"/>
          <w:sz w:val="24"/>
          <w:lang w:val="en-US" w:eastAsia="zh-CN"/>
        </w:rPr>
        <w:t>三</w:t>
      </w:r>
      <w:r>
        <w:rPr>
          <w:rStyle w:val="9"/>
          <w:rFonts w:ascii="宋体" w:hAnsi="宋体"/>
          <w:kern w:val="0"/>
          <w:sz w:val="24"/>
        </w:rPr>
        <w:t>届第</w:t>
      </w:r>
      <w:r>
        <w:rPr>
          <w:rStyle w:val="9"/>
          <w:rFonts w:hint="eastAsia" w:ascii="宋体" w:hAnsi="宋体"/>
          <w:kern w:val="0"/>
          <w:sz w:val="24"/>
          <w:lang w:val="en-US" w:eastAsia="zh-CN"/>
        </w:rPr>
        <w:t>一</w:t>
      </w:r>
      <w:r>
        <w:rPr>
          <w:rStyle w:val="9"/>
          <w:rFonts w:ascii="宋体" w:hAnsi="宋体"/>
          <w:kern w:val="0"/>
          <w:sz w:val="24"/>
        </w:rPr>
        <w:t>次会议　       　第</w:t>
      </w:r>
      <w:r>
        <w:rPr>
          <w:rStyle w:val="9"/>
          <w:rFonts w:hint="eastAsia" w:ascii="宋体" w:hAnsi="宋体"/>
          <w:kern w:val="0"/>
          <w:sz w:val="24"/>
          <w:lang w:val="en-US" w:eastAsia="zh-CN"/>
        </w:rPr>
        <w:t>042</w:t>
      </w:r>
      <w:r>
        <w:rPr>
          <w:rStyle w:val="9"/>
          <w:rFonts w:ascii="宋体" w:hAnsi="宋体"/>
          <w:kern w:val="0"/>
          <w:sz w:val="24"/>
        </w:rPr>
        <w:t xml:space="preserve">号　    </w:t>
      </w:r>
      <w:r>
        <w:rPr>
          <w:rStyle w:val="9"/>
          <w:rFonts w:hint="eastAsia" w:ascii="宋体" w:hAnsi="宋体"/>
          <w:kern w:val="0"/>
          <w:sz w:val="24"/>
        </w:rPr>
        <w:t xml:space="preserve">    </w:t>
      </w:r>
      <w:r>
        <w:rPr>
          <w:rStyle w:val="9"/>
          <w:rFonts w:hint="eastAsia" w:ascii="宋体" w:hAnsi="宋体"/>
          <w:kern w:val="0"/>
          <w:sz w:val="24"/>
          <w:lang w:val="en-US" w:eastAsia="zh-CN"/>
        </w:rPr>
        <w:t xml:space="preserve"> 类别：政治建设类     </w:t>
      </w:r>
    </w:p>
    <w:p>
      <w:pPr>
        <w:spacing w:line="320" w:lineRule="exact"/>
        <w:jc w:val="left"/>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5"/>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9"/>
                <w:rFonts w:ascii="宋体" w:hAnsi="宋体"/>
                <w:kern w:val="0"/>
                <w:sz w:val="24"/>
              </w:rPr>
            </w:pPr>
            <w:r>
              <w:rPr>
                <w:rStyle w:val="9"/>
                <w:rFonts w:ascii="黑体" w:hAnsi="宋体" w:eastAsia="黑体" w:cs="宋体"/>
                <w:b/>
                <w:bCs/>
                <w:kern w:val="0"/>
                <w:sz w:val="24"/>
              </w:rPr>
              <w:t>案</w:t>
            </w:r>
            <w:r>
              <w:rPr>
                <w:rStyle w:val="9"/>
                <w:rFonts w:ascii="宋体" w:hAnsi="宋体" w:eastAsia="黑体" w:cs="宋体"/>
                <w:b/>
                <w:bCs/>
                <w:kern w:val="0"/>
                <w:sz w:val="24"/>
              </w:rPr>
              <w:t>  </w:t>
            </w:r>
            <w:r>
              <w:rPr>
                <w:rStyle w:val="9"/>
                <w:rFonts w:ascii="黑体" w:hAnsi="宋体" w:eastAsia="黑体" w:cs="宋体"/>
                <w:b/>
                <w:bCs/>
                <w:kern w:val="0"/>
                <w:sz w:val="24"/>
              </w:rPr>
              <w:t>由</w:t>
            </w:r>
            <w:r>
              <w:rPr>
                <w:rStyle w:val="9"/>
                <w:rFonts w:ascii="宋体" w:hAnsi="宋体" w:cs="宋体"/>
                <w:b/>
                <w:bCs/>
                <w:kern w:val="0"/>
                <w:sz w:val="24"/>
              </w:rPr>
              <w:t>：</w:t>
            </w:r>
          </w:p>
        </w:tc>
        <w:tc>
          <w:tcPr>
            <w:tcW w:w="6797" w:type="dxa"/>
            <w:gridSpan w:val="3"/>
            <w:vAlign w:val="center"/>
          </w:tcPr>
          <w:p>
            <w:pPr>
              <w:jc w:val="left"/>
              <w:rPr>
                <w:rStyle w:val="9"/>
                <w:rFonts w:ascii="宋体" w:hAnsi="宋体" w:cs="宋体"/>
                <w:b/>
                <w:bCs/>
                <w:kern w:val="0"/>
                <w:sz w:val="24"/>
              </w:rPr>
            </w:pPr>
            <w:r>
              <w:rPr>
                <w:rStyle w:val="9"/>
                <w:rFonts w:hint="eastAsia" w:ascii="宋体" w:hAnsi="宋体" w:cs="宋体"/>
                <w:b/>
                <w:bCs/>
                <w:kern w:val="0"/>
                <w:sz w:val="24"/>
              </w:rPr>
              <w:t>关于加强自然保护地体系建设，维护生态安全的建议</w:t>
            </w:r>
          </w:p>
        </w:tc>
      </w:tr>
      <w:tr>
        <w:tblPrEx>
          <w:tblCellMar>
            <w:top w:w="0" w:type="dxa"/>
            <w:left w:w="15" w:type="dxa"/>
            <w:bottom w:w="0" w:type="dxa"/>
            <w:right w:w="15" w:type="dxa"/>
          </w:tblCellMar>
        </w:tblPrEx>
        <w:tc>
          <w:tcPr>
            <w:tcW w:w="1753" w:type="dxa"/>
            <w:vAlign w:val="center"/>
          </w:tcPr>
          <w:p>
            <w:pPr>
              <w:jc w:val="left"/>
              <w:rPr>
                <w:rStyle w:val="9"/>
                <w:rFonts w:ascii="宋体" w:hAnsi="宋体"/>
                <w:kern w:val="0"/>
                <w:sz w:val="24"/>
              </w:rPr>
            </w:pPr>
            <w:r>
              <w:rPr>
                <w:rStyle w:val="9"/>
                <w:rFonts w:ascii="黑体" w:hAnsi="宋体" w:eastAsia="黑体" w:cs="宋体"/>
                <w:b/>
                <w:bCs/>
                <w:kern w:val="0"/>
                <w:sz w:val="24"/>
              </w:rPr>
              <w:t>审查意见</w:t>
            </w:r>
            <w:r>
              <w:rPr>
                <w:rStyle w:val="9"/>
                <w:rFonts w:ascii="宋体" w:hAnsi="宋体" w:cs="宋体"/>
                <w:b/>
                <w:bCs/>
                <w:kern w:val="0"/>
                <w:sz w:val="24"/>
              </w:rPr>
              <w:t>：</w:t>
            </w:r>
          </w:p>
        </w:tc>
        <w:tc>
          <w:tcPr>
            <w:tcW w:w="6797" w:type="dxa"/>
            <w:gridSpan w:val="3"/>
            <w:vAlign w:val="center"/>
          </w:tcPr>
          <w:p>
            <w:pPr>
              <w:jc w:val="left"/>
              <w:rPr>
                <w:rStyle w:val="9"/>
                <w:rFonts w:hint="default" w:ascii="宋体" w:hAnsi="宋体" w:eastAsia="宋体"/>
                <w:kern w:val="0"/>
                <w:sz w:val="24"/>
                <w:lang w:val="en-US" w:eastAsia="zh-CN"/>
              </w:rPr>
            </w:pPr>
            <w:r>
              <w:rPr>
                <w:rStyle w:val="9"/>
                <w:rFonts w:hint="eastAsia" w:ascii="宋体" w:hAnsi="宋体"/>
                <w:kern w:val="0"/>
                <w:sz w:val="24"/>
                <w:lang w:eastAsia="zh-CN"/>
              </w:rPr>
              <w:t>主办：</w:t>
            </w:r>
            <w:r>
              <w:rPr>
                <w:rStyle w:val="9"/>
                <w:rFonts w:hint="eastAsia" w:ascii="宋体" w:hAnsi="宋体"/>
                <w:kern w:val="0"/>
                <w:sz w:val="24"/>
                <w:lang w:val="en-US" w:eastAsia="zh-CN"/>
              </w:rPr>
              <w:t>州林业局 会办：州委编办、州生态环境局、州发改委、州自然资源局</w:t>
            </w:r>
          </w:p>
        </w:tc>
      </w:tr>
      <w:tr>
        <w:tblPrEx>
          <w:tblCellMar>
            <w:top w:w="0" w:type="dxa"/>
            <w:left w:w="15" w:type="dxa"/>
            <w:bottom w:w="0" w:type="dxa"/>
            <w:right w:w="15" w:type="dxa"/>
          </w:tblCellMar>
        </w:tblPrEx>
        <w:tc>
          <w:tcPr>
            <w:tcW w:w="1753" w:type="dxa"/>
            <w:vAlign w:val="center"/>
          </w:tcPr>
          <w:p>
            <w:pPr>
              <w:jc w:val="left"/>
              <w:rPr>
                <w:rStyle w:val="9"/>
                <w:rFonts w:ascii="黑体" w:hAnsi="宋体" w:eastAsia="黑体"/>
                <w:kern w:val="0"/>
                <w:sz w:val="24"/>
              </w:rPr>
            </w:pPr>
            <w:r>
              <w:rPr>
                <w:rStyle w:val="9"/>
                <w:rFonts w:ascii="黑体" w:hAnsi="宋体" w:eastAsia="黑体" w:cs="宋体"/>
                <w:b/>
                <w:bCs/>
                <w:kern w:val="0"/>
                <w:sz w:val="24"/>
              </w:rPr>
              <w:t>提</w:t>
            </w:r>
            <w:r>
              <w:rPr>
                <w:rStyle w:val="9"/>
                <w:rFonts w:ascii="宋体" w:hAnsi="宋体" w:eastAsia="黑体" w:cs="宋体"/>
                <w:b/>
                <w:bCs/>
                <w:kern w:val="0"/>
                <w:sz w:val="24"/>
              </w:rPr>
              <w:t> </w:t>
            </w:r>
            <w:r>
              <w:rPr>
                <w:rStyle w:val="9"/>
                <w:rFonts w:ascii="黑体" w:hAnsi="宋体" w:eastAsia="黑体" w:cs="宋体"/>
                <w:b/>
                <w:bCs/>
                <w:kern w:val="0"/>
                <w:sz w:val="24"/>
              </w:rPr>
              <w:t>案人</w:t>
            </w:r>
            <w:r>
              <w:rPr>
                <w:rStyle w:val="9"/>
                <w:rFonts w:ascii="宋体" w:hAnsi="宋体" w:eastAsia="黑体" w:cs="宋体"/>
                <w:b/>
                <w:bCs/>
                <w:kern w:val="0"/>
                <w:sz w:val="24"/>
              </w:rPr>
              <w:t>：</w:t>
            </w:r>
          </w:p>
        </w:tc>
        <w:tc>
          <w:tcPr>
            <w:tcW w:w="3872" w:type="dxa"/>
            <w:vAlign w:val="center"/>
          </w:tcPr>
          <w:p>
            <w:pPr>
              <w:jc w:val="left"/>
              <w:rPr>
                <w:rStyle w:val="9"/>
                <w:rFonts w:ascii="宋体" w:hAnsi="宋体"/>
                <w:kern w:val="0"/>
                <w:sz w:val="24"/>
              </w:rPr>
            </w:pPr>
            <w:r>
              <w:rPr>
                <w:rStyle w:val="9"/>
                <w:rFonts w:ascii="宋体" w:hAnsi="宋体" w:cs="宋体"/>
                <w:b/>
                <w:bCs/>
                <w:kern w:val="0"/>
                <w:sz w:val="24"/>
                <w:highlight w:val="none"/>
              </w:rPr>
              <w:t>通讯地址</w:t>
            </w:r>
          </w:p>
        </w:tc>
        <w:tc>
          <w:tcPr>
            <w:tcW w:w="1440" w:type="dxa"/>
            <w:vAlign w:val="center"/>
          </w:tcPr>
          <w:p>
            <w:pPr>
              <w:jc w:val="left"/>
              <w:rPr>
                <w:rStyle w:val="9"/>
                <w:rFonts w:ascii="宋体" w:hAnsi="宋体"/>
                <w:kern w:val="0"/>
                <w:sz w:val="24"/>
              </w:rPr>
            </w:pPr>
            <w:r>
              <w:rPr>
                <w:rStyle w:val="9"/>
                <w:rFonts w:ascii="宋体" w:hAnsi="宋体" w:cs="宋体"/>
                <w:b/>
                <w:bCs/>
                <w:kern w:val="0"/>
                <w:sz w:val="24"/>
              </w:rPr>
              <w:t>邮政编码</w:t>
            </w:r>
          </w:p>
        </w:tc>
        <w:tc>
          <w:tcPr>
            <w:tcW w:w="1485" w:type="dxa"/>
            <w:vAlign w:val="center"/>
          </w:tcPr>
          <w:p>
            <w:pPr>
              <w:jc w:val="left"/>
              <w:rPr>
                <w:rStyle w:val="9"/>
                <w:rFonts w:ascii="宋体" w:hAnsi="宋体"/>
                <w:kern w:val="0"/>
                <w:sz w:val="24"/>
              </w:rPr>
            </w:pPr>
            <w:r>
              <w:rPr>
                <w:rStyle w:val="9"/>
                <w:rFonts w:ascii="宋体" w:hAnsi="宋体" w:cs="宋体"/>
                <w:b/>
                <w:bCs/>
                <w:kern w:val="0"/>
                <w:sz w:val="24"/>
              </w:rPr>
              <w:t>联系电话</w:t>
            </w:r>
          </w:p>
        </w:tc>
      </w:tr>
      <w:tr>
        <w:tc>
          <w:tcPr>
            <w:tcW w:w="1753" w:type="dxa"/>
            <w:vAlign w:val="center"/>
          </w:tcPr>
          <w:p>
            <w:pPr>
              <w:jc w:val="left"/>
              <w:rPr>
                <w:rStyle w:val="9"/>
                <w:rFonts w:ascii="宋体" w:hAnsi="宋体"/>
                <w:kern w:val="0"/>
                <w:sz w:val="24"/>
              </w:rPr>
            </w:pPr>
            <w:r>
              <w:rPr>
                <w:rStyle w:val="9"/>
                <w:rFonts w:hint="eastAsia" w:ascii="宋体" w:hAnsi="宋体"/>
                <w:kern w:val="0"/>
                <w:sz w:val="24"/>
              </w:rPr>
              <w:t>龙运培</w:t>
            </w:r>
          </w:p>
        </w:tc>
        <w:tc>
          <w:tcPr>
            <w:tcW w:w="3872" w:type="dxa"/>
            <w:vAlign w:val="center"/>
          </w:tcPr>
          <w:p>
            <w:pPr>
              <w:widowControl/>
              <w:jc w:val="left"/>
              <w:rPr>
                <w:rStyle w:val="9"/>
                <w:rFonts w:hint="eastAsia" w:ascii="宋体" w:hAnsi="宋体" w:eastAsia="宋体"/>
                <w:kern w:val="0"/>
                <w:sz w:val="24"/>
                <w:lang w:val="en-US" w:eastAsia="zh-CN"/>
              </w:rPr>
            </w:pPr>
            <w:r>
              <w:rPr>
                <w:rStyle w:val="9"/>
                <w:rFonts w:hint="eastAsia" w:ascii="宋体" w:hAnsi="宋体" w:eastAsia="宋体"/>
                <w:kern w:val="0"/>
                <w:sz w:val="24"/>
                <w:lang w:val="en-US" w:eastAsia="zh-CN"/>
              </w:rPr>
              <w:t>黎平县侗乡风景名胜区发展服务中心</w:t>
            </w:r>
          </w:p>
        </w:tc>
        <w:tc>
          <w:tcPr>
            <w:tcW w:w="1440" w:type="dxa"/>
            <w:vAlign w:val="center"/>
          </w:tcPr>
          <w:p>
            <w:pPr>
              <w:widowControl/>
              <w:jc w:val="left"/>
              <w:rPr>
                <w:rStyle w:val="9"/>
                <w:rFonts w:hint="default" w:ascii="宋体" w:hAnsi="宋体" w:eastAsia="宋体"/>
                <w:kern w:val="0"/>
                <w:sz w:val="24"/>
                <w:lang w:val="en-US" w:eastAsia="zh-CN"/>
              </w:rPr>
            </w:pPr>
            <w:r>
              <w:rPr>
                <w:rFonts w:hint="default" w:ascii="Times New Roman" w:hAnsi="Times New Roman" w:cs="Times New Roman"/>
                <w:kern w:val="0"/>
                <w:sz w:val="24"/>
              </w:rPr>
              <w:t xml:space="preserve"> 557300</w:t>
            </w:r>
            <w:bookmarkStart w:id="0" w:name="_GoBack"/>
            <w:bookmarkEnd w:id="0"/>
          </w:p>
        </w:tc>
        <w:tc>
          <w:tcPr>
            <w:tcW w:w="1485" w:type="dxa"/>
            <w:vAlign w:val="center"/>
          </w:tcPr>
          <w:p>
            <w:pPr>
              <w:widowControl/>
              <w:jc w:val="left"/>
              <w:rPr>
                <w:rStyle w:val="9"/>
                <w:rFonts w:hint="default" w:ascii="宋体" w:hAnsi="宋体" w:eastAsia="宋体"/>
                <w:kern w:val="0"/>
                <w:sz w:val="24"/>
                <w:lang w:val="en-US" w:eastAsia="zh-CN"/>
              </w:rPr>
            </w:pPr>
            <w:r>
              <w:rPr>
                <w:rStyle w:val="9"/>
                <w:rFonts w:hint="default" w:ascii="宋体" w:hAnsi="宋体" w:eastAsia="宋体"/>
                <w:kern w:val="0"/>
                <w:sz w:val="24"/>
                <w:lang w:val="en-US" w:eastAsia="zh-CN"/>
              </w:rPr>
              <w:t>13595589307</w:t>
            </w:r>
          </w:p>
        </w:tc>
      </w:tr>
      <w:tr>
        <w:tblPrEx>
          <w:tblCellMar>
            <w:top w:w="0" w:type="dxa"/>
            <w:left w:w="15" w:type="dxa"/>
            <w:bottom w:w="0" w:type="dxa"/>
            <w:right w:w="15" w:type="dxa"/>
          </w:tblCellMar>
        </w:tblPrEx>
        <w:tc>
          <w:tcPr>
            <w:tcW w:w="1753" w:type="dxa"/>
            <w:vAlign w:val="center"/>
          </w:tcPr>
          <w:p>
            <w:pPr>
              <w:jc w:val="left"/>
              <w:rPr>
                <w:rStyle w:val="9"/>
                <w:rFonts w:hint="eastAsia" w:ascii="宋体" w:hAnsi="宋体" w:eastAsia="宋体"/>
                <w:kern w:val="0"/>
                <w:sz w:val="24"/>
                <w:lang w:eastAsia="zh-CN"/>
              </w:rPr>
            </w:pPr>
            <w:r>
              <w:rPr>
                <w:rStyle w:val="9"/>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9"/>
                <w:rFonts w:hint="eastAsia" w:ascii="宋体" w:hAnsi="宋体"/>
                <w:kern w:val="0"/>
                <w:sz w:val="24"/>
                <w:lang w:val="en-US" w:eastAsia="zh-CN"/>
              </w:rPr>
            </w:pPr>
            <w:r>
              <w:rPr>
                <w:rStyle w:val="9"/>
                <w:rFonts w:hint="eastAsia" w:ascii="宋体" w:hAnsi="宋体"/>
                <w:kern w:val="0"/>
                <w:sz w:val="24"/>
                <w:lang w:eastAsia="zh-CN"/>
              </w:rPr>
              <w:t>州委办秘书五科：</w:t>
            </w:r>
            <w:r>
              <w:rPr>
                <w:rStyle w:val="9"/>
                <w:rFonts w:hint="eastAsia" w:ascii="宋体" w:hAnsi="宋体"/>
                <w:kern w:val="0"/>
                <w:sz w:val="24"/>
                <w:lang w:val="en-US" w:eastAsia="zh-CN"/>
              </w:rPr>
              <w:t>8270060；</w:t>
            </w:r>
            <w:r>
              <w:rPr>
                <w:rStyle w:val="9"/>
                <w:rFonts w:hint="eastAsia" w:ascii="宋体" w:hAnsi="宋体"/>
                <w:kern w:val="0"/>
                <w:sz w:val="24"/>
                <w:lang w:eastAsia="zh-CN"/>
              </w:rPr>
              <w:t>州政府办建议提案科：</w:t>
            </w:r>
            <w:r>
              <w:rPr>
                <w:rStyle w:val="9"/>
                <w:rFonts w:hint="eastAsia" w:ascii="宋体" w:hAnsi="宋体"/>
                <w:kern w:val="0"/>
                <w:sz w:val="24"/>
                <w:lang w:val="en-US" w:eastAsia="zh-CN"/>
              </w:rPr>
              <w:t>8260016；</w:t>
            </w:r>
          </w:p>
          <w:p>
            <w:pPr>
              <w:jc w:val="left"/>
              <w:rPr>
                <w:rStyle w:val="9"/>
                <w:rFonts w:hint="default" w:ascii="宋体" w:hAnsi="宋体"/>
                <w:kern w:val="0"/>
                <w:sz w:val="24"/>
                <w:lang w:val="en-US"/>
              </w:rPr>
            </w:pPr>
            <w:r>
              <w:rPr>
                <w:rStyle w:val="9"/>
                <w:rFonts w:hint="eastAsia" w:ascii="宋体" w:hAnsi="宋体"/>
                <w:kern w:val="0"/>
                <w:sz w:val="24"/>
                <w:lang w:eastAsia="zh-CN"/>
              </w:rPr>
              <w:t>州政协提案委：</w:t>
            </w:r>
            <w:r>
              <w:rPr>
                <w:rStyle w:val="9"/>
                <w:rFonts w:hint="eastAsia" w:ascii="宋体" w:hAnsi="宋体"/>
                <w:kern w:val="0"/>
                <w:sz w:val="24"/>
                <w:lang w:val="en-US" w:eastAsia="zh-CN"/>
              </w:rPr>
              <w:t>8428866</w:t>
            </w:r>
            <w:r>
              <w:rPr>
                <w:rStyle w:val="9"/>
                <w:rFonts w:hint="eastAsia" w:ascii="宋体" w:hAnsi="宋体"/>
                <w:kern w:val="0"/>
                <w:sz w:val="24"/>
                <w:lang w:eastAsia="zh-CN"/>
              </w:rPr>
              <w:t>。</w:t>
            </w:r>
          </w:p>
        </w:tc>
      </w:tr>
    </w:tbl>
    <w:p>
      <w:pPr>
        <w:jc w:val="left"/>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9"/>
          <w:rFonts w:hint="eastAsia" w:ascii="仿宋_GB2312" w:hAnsi="宋体" w:eastAsia="仿宋_GB2312"/>
          <w:kern w:val="0"/>
          <w:sz w:val="32"/>
          <w:szCs w:val="32"/>
        </w:rPr>
      </w:pPr>
      <w:r>
        <w:rPr>
          <w:rStyle w:val="9"/>
          <w:rFonts w:hint="eastAsia" w:ascii="仿宋_GB2312" w:hAnsi="宋体" w:eastAsia="仿宋_GB2312"/>
          <w:kern w:val="0"/>
          <w:sz w:val="32"/>
          <w:szCs w:val="32"/>
        </w:rPr>
        <w:t>内容和办法</w:t>
      </w:r>
      <w:r>
        <w:rPr>
          <w:rStyle w:val="9"/>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根据中共中央办公厅、国务院办公厅印发《关于建立以国家公园为主体的自然保护地体系的指导意见》，结合贵州省自然保护地问题整改专项工作领导小组“黔保护地领发〔2019〕1号”文件要求，到2023年底要全面完成全省自然保护地管理体制机制建设，自然保护地面积占国土面积的18%以上。</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一、加强自然保护地体系建设的意义</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自然保护地体系是生态建设的核心载体，在维护国家生态安全中居于首要地位。建立自然保护地体系，是贯彻习近平生态文明思想的重大举措，是党的十九大提出的重大改革任务。加强自然保护地体系建设，是守护自然生态，保育自然资源，保护生物多样性，维护自然生态系统健康稳定的保障，可不断满足人民群众对优美生态环境、优良生态产品、优质生态服务的需要。</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加强自然保护地体系建设，可确保自然生态系统、自然遗产、自然景观和生物多样性得到系统性保护，提升生态产品供给能力，维护生态安全，为建设美丽黔东南提供生态支撑。让当代人享受到大自然的馈赠和天蓝地绿水净、鸟语花香的美好家园，为子孙后代留下宝贵自然遗产。</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二、全州自然保护地现状</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全州共有各级各类自然保护地46个（不含世界自然遗产地、水产种质资源保护区），其中：国家级13个（自然保护区1个、风景名胜区3个、森林公园5个、湿地公园3个、地质公园1个），省级14个（自然保护区1个、风景名胜区7个、森林公园6个），州级10个（自然保护区9个、森林公园1个），县级9个（自然保护区8个、森林公园1个），总面积55.73万公顷，占全州国土面积的18.39%。全州46个自然保护地，有独立管理机构的保护地28个，有共享管理机构的保护地16个，无管理机构的保护地2个。</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三、我州自然保护地存在的主要问题</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1.管理体制不健全。2019年机构改革后，全州46个自然保护地，除雷公山国家级自然保护区1个管理机构为“管理局”外，剩余43个保护地管理机构均为“服务中心”，另有2个保护地至今没有管理机构。因管理体制不健全，导致自然保护地管理不到位，被中央环保督察反馈要求整改。</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2.保护机制不完善。按照中央关于深化生态环境保护综合行政执法改革工作安排，自然保护地内进行非法开矿、修路、筑坝、建设造成生态破坏的执法权（简称：自然保护地内四类违法行为执法权）已经从林业部门调整到生态环境部门，但州级主管部门至今尚未出台自然保护地内四类违法行为案件移交配套办法机制，基层案件移交查办困难，导致自然保护地内四类违法行为案件查处不及时，影响生态安全。</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3.项目审批不规范。随着近年招商引资力度的加大，全州引进了部分招商项目，因招商时未全面考虑自然保护地的约束限制，加上招商项目只需到发改部门登记备案，且多数招商项目为“三边”工程，导致部分招商项目最后无法完善相关建设手续，严重影响我州营商环境。</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4.管理水平较落后。2019年机构改革后，全州46个自然保护地全部划转到林业部门进行管理，因原管理保护地的部分专业技术人员（编制不在保护地管理机构）不分流到保护地管理机构，加上林业部门分管领导及保护地主要领导有些刚接触保护地，对保护地业务不是很熟悉，导致管理水平跟不上保护地发展要求。 </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健全管理体制，实现统一管理。建议由州编办商州林业局，根据《关于建立以国家公园为主体的自然保护地体系的指导意见》，借鉴省内其他地州（市）保护地管理机构设置模式，做到一个保护地、一套机构、一块牌子，赋予管理职能，完成全州自然保护地管理体制机制建设，实现对全州自然保护地的统一管理。</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完善保护体制，守住生态底线。建议由州生态环境局商林业局，出台自然保护地四类违法行为案件移交配套办法机制，明确案件移交需要提供哪些证据资料、手续等相关材料，证据资料有什么要求，移交手续程序怎么走等，便于基层案件移交查办，依法守住生态底线。</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联合项目审批，实现有效管理。建议发改部门、自然资源部门在办理涉及自然保护地建设项目登记备案、选址意见时，联合自然保护地管理机构共同审查，避免建设项目因违反自然保护地管理要求而不能落地实施，提升我州营商环境，实现自然保护地的有效管理。</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四、加强人员培训，提高管理水平。建议州林业局每年对县级林业部门分管领导及自然保护地管理机构人员进行业务培训、交流学习，让专业的人做专业的事，提高管理水平，确保全州自然保护地在保护中得到可持续发展。</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9"/>
          <w:rFonts w:hint="eastAsia" w:ascii="仿宋" w:hAnsi="仿宋" w:eastAsia="仿宋" w:cs="仿宋"/>
          <w:kern w:val="0"/>
          <w:sz w:val="32"/>
          <w:szCs w:val="32"/>
          <w:lang w:val="en-US" w:eastAsia="zh-CN"/>
        </w:rPr>
      </w:pPr>
      <w:r>
        <w:rPr>
          <w:rStyle w:val="9"/>
          <w:rFonts w:hint="eastAsia" w:ascii="黑体" w:hAnsi="黑体" w:eastAsia="黑体" w:cs="黑体"/>
          <w:b/>
          <w:bCs/>
          <w:kern w:val="0"/>
          <w:sz w:val="32"/>
          <w:szCs w:val="32"/>
          <w:lang w:val="en-US" w:eastAsia="zh-CN"/>
        </w:rPr>
        <w:t>注：</w:t>
      </w:r>
      <w:r>
        <w:rPr>
          <w:rStyle w:val="9"/>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9"/>
          <w:rFonts w:hint="default" w:ascii="仿宋" w:hAnsi="仿宋" w:eastAsia="仿宋" w:cs="仿宋"/>
          <w:kern w:val="0"/>
          <w:sz w:val="32"/>
          <w:szCs w:val="32"/>
          <w:lang w:val="en-US" w:eastAsia="zh-CN"/>
        </w:rPr>
      </w:pPr>
      <w:r>
        <w:rPr>
          <w:rStyle w:val="9"/>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5639B7"/>
    <w:rsid w:val="10B40BCC"/>
    <w:rsid w:val="10F40BE4"/>
    <w:rsid w:val="118823F2"/>
    <w:rsid w:val="18EC1E64"/>
    <w:rsid w:val="1A917DD9"/>
    <w:rsid w:val="1BAB45FA"/>
    <w:rsid w:val="21EA0B57"/>
    <w:rsid w:val="255649A8"/>
    <w:rsid w:val="29EB237C"/>
    <w:rsid w:val="2FD84B80"/>
    <w:rsid w:val="30B878C9"/>
    <w:rsid w:val="33552650"/>
    <w:rsid w:val="377737A4"/>
    <w:rsid w:val="38D60616"/>
    <w:rsid w:val="38E6072A"/>
    <w:rsid w:val="3A7B4D73"/>
    <w:rsid w:val="3F1A5C90"/>
    <w:rsid w:val="42F10C9F"/>
    <w:rsid w:val="43953D03"/>
    <w:rsid w:val="490C291D"/>
    <w:rsid w:val="4A196944"/>
    <w:rsid w:val="4F6B5D70"/>
    <w:rsid w:val="507F065A"/>
    <w:rsid w:val="52263247"/>
    <w:rsid w:val="5236789E"/>
    <w:rsid w:val="559F1A55"/>
    <w:rsid w:val="58167D2D"/>
    <w:rsid w:val="5902530C"/>
    <w:rsid w:val="5A7C34BF"/>
    <w:rsid w:val="5AA17385"/>
    <w:rsid w:val="5B7C24C8"/>
    <w:rsid w:val="5C342431"/>
    <w:rsid w:val="5FDA608F"/>
    <w:rsid w:val="617E5CD0"/>
    <w:rsid w:val="61895CCF"/>
    <w:rsid w:val="61C325AD"/>
    <w:rsid w:val="62384D4B"/>
    <w:rsid w:val="64010D57"/>
    <w:rsid w:val="66F35DD9"/>
    <w:rsid w:val="6854075C"/>
    <w:rsid w:val="69A37ABB"/>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snapToGrid w:val="0"/>
      <w:jc w:val="left"/>
    </w:pPr>
    <w:rPr>
      <w:sz w:val="18"/>
      <w:szCs w:val="18"/>
    </w:rPr>
  </w:style>
  <w:style w:type="paragraph" w:styleId="3">
    <w:name w:val="header"/>
    <w:basedOn w:val="1"/>
    <w:qFormat/>
    <w:uiPriority w:val="0"/>
    <w:pPr>
      <w:pBdr>
        <w:bottom w:val="single" w:color="000000" w:sz="6" w:space="0"/>
      </w:pBdr>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qFormat/>
    <w:uiPriority w:val="0"/>
    <w:rPr>
      <w:rFonts w:cs="Times New Roman"/>
      <w:b/>
      <w:bCs/>
    </w:rPr>
  </w:style>
  <w:style w:type="character" w:styleId="8">
    <w:name w:val="Hyperlink"/>
    <w:basedOn w:val="9"/>
    <w:semiHidden/>
    <w:qFormat/>
    <w:uiPriority w:val="0"/>
    <w:rPr>
      <w:color w:val="0000FF"/>
      <w:u w:val="single"/>
    </w:rPr>
  </w:style>
  <w:style w:type="character" w:customStyle="1" w:styleId="9">
    <w:name w:val="NormalCharacter"/>
    <w:semiHidden/>
    <w:qFormat/>
    <w:uiPriority w:val="0"/>
  </w:style>
  <w:style w:type="paragraph" w:customStyle="1" w:styleId="10">
    <w:name w:val="Heading1"/>
    <w:basedOn w:val="1"/>
    <w:link w:val="16"/>
    <w:qFormat/>
    <w:uiPriority w:val="0"/>
    <w:pPr>
      <w:spacing w:before="100" w:beforeAutospacing="1" w:after="100" w:afterAutospacing="1"/>
      <w:jc w:val="left"/>
    </w:pPr>
    <w:rPr>
      <w:rFonts w:ascii="宋体" w:hAnsi="宋体" w:cs="宋体"/>
      <w:b/>
      <w:bCs/>
      <w:kern w:val="36"/>
      <w:sz w:val="48"/>
      <w:szCs w:val="48"/>
    </w:rPr>
  </w:style>
  <w:style w:type="table" w:customStyle="1" w:styleId="11">
    <w:name w:val="TableNormal"/>
    <w:semiHidden/>
    <w:qFormat/>
    <w:uiPriority w:val="0"/>
    <w:tblPr>
      <w:tblCellMar>
        <w:top w:w="0" w:type="dxa"/>
        <w:left w:w="0" w:type="dxa"/>
        <w:bottom w:w="0" w:type="dxa"/>
        <w:right w:w="0" w:type="dxa"/>
      </w:tblCellMar>
    </w:tblPr>
  </w:style>
  <w:style w:type="paragraph" w:customStyle="1" w:styleId="12">
    <w:name w:val="Acetate"/>
    <w:basedOn w:val="1"/>
    <w:qFormat/>
    <w:uiPriority w:val="0"/>
    <w:rPr>
      <w:sz w:val="18"/>
      <w:szCs w:val="18"/>
    </w:rPr>
  </w:style>
  <w:style w:type="paragraph" w:customStyle="1" w:styleId="13">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4">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5">
    <w:name w:val="UserStyle_2"/>
    <w:basedOn w:val="1"/>
    <w:qFormat/>
    <w:uiPriority w:val="0"/>
    <w:pPr>
      <w:spacing w:before="100" w:beforeAutospacing="1" w:after="100" w:afterAutospacing="1"/>
      <w:jc w:val="left"/>
    </w:pPr>
    <w:rPr>
      <w:rFonts w:ascii="宋体" w:hAnsi="宋体"/>
      <w:kern w:val="0"/>
      <w:sz w:val="24"/>
    </w:rPr>
  </w:style>
  <w:style w:type="character" w:customStyle="1" w:styleId="16">
    <w:name w:val="UserStyle_3"/>
    <w:basedOn w:val="9"/>
    <w:link w:val="10"/>
    <w:qFormat/>
    <w:uiPriority w:val="0"/>
    <w:rPr>
      <w:rFonts w:ascii="宋体" w:hAnsi="宋体" w:cs="宋体"/>
      <w:b/>
      <w:bCs/>
      <w:kern w:val="36"/>
      <w:sz w:val="48"/>
      <w:szCs w:val="48"/>
    </w:rPr>
  </w:style>
  <w:style w:type="character" w:customStyle="1" w:styleId="17">
    <w:name w:val="UserStyle_4"/>
    <w:basedOn w:val="9"/>
    <w:qFormat/>
    <w:uiPriority w:val="0"/>
  </w:style>
  <w:style w:type="paragraph" w:customStyle="1" w:styleId="18">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19">
    <w:name w:val="页脚 Char"/>
    <w:basedOn w:val="6"/>
    <w:link w:val="2"/>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1</TotalTime>
  <ScaleCrop>false</ScaleCrop>
  <LinksUpToDate>false</LinksUpToDate>
  <CharactersWithSpaces>2054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2022-01-05T02:39:00Z</cp:lastPrinted>
  <dcterms:modified xsi:type="dcterms:W3CDTF">2022-01-06T07:21:10Z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0BEFFA9D6DA34548976C4312CA596319</vt:lpwstr>
  </property>
</Properties>
</file>