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before="0" w:beforeAutospacing="0" w:after="0" w:afterAutospacing="0" w:line="600" w:lineRule="exact"/>
        <w:jc w:val="center"/>
        <w:rPr>
          <w:rStyle w:val="14"/>
          <w:rFonts w:ascii="黑体" w:eastAsia="黑体"/>
          <w:sz w:val="44"/>
          <w:szCs w:val="44"/>
        </w:rPr>
      </w:pPr>
      <w:r>
        <w:rPr>
          <w:rStyle w:val="12"/>
          <w:rFonts w:ascii="黑体" w:eastAsia="黑体" w:cs="宋体"/>
          <w:sz w:val="44"/>
          <w:szCs w:val="44"/>
        </w:rPr>
        <w:t>中国人民政治协商会议</w:t>
      </w:r>
    </w:p>
    <w:p>
      <w:pPr>
        <w:pStyle w:val="18"/>
        <w:spacing w:before="0" w:beforeAutospacing="0" w:after="0" w:afterAutospacing="0" w:line="600" w:lineRule="exact"/>
        <w:jc w:val="center"/>
        <w:rPr>
          <w:rStyle w:val="14"/>
          <w:rFonts w:hint="eastAsia"/>
          <w:sz w:val="44"/>
          <w:szCs w:val="44"/>
        </w:rPr>
      </w:pPr>
      <w:r>
        <w:rPr>
          <w:rStyle w:val="14"/>
          <w:sz w:val="44"/>
          <w:szCs w:val="44"/>
        </w:rPr>
        <w:t>黔东南苗族侗族自治州委员会</w:t>
      </w:r>
    </w:p>
    <w:p>
      <w:pPr>
        <w:pStyle w:val="18"/>
        <w:spacing w:before="0" w:beforeAutospacing="0" w:after="0" w:afterAutospacing="0" w:line="600" w:lineRule="exact"/>
        <w:jc w:val="center"/>
        <w:rPr>
          <w:rStyle w:val="14"/>
          <w:rFonts w:hint="eastAsia"/>
          <w:sz w:val="44"/>
          <w:szCs w:val="44"/>
        </w:rPr>
      </w:pPr>
      <w:r>
        <w:rPr>
          <w:rStyle w:val="14"/>
          <w:sz w:val="44"/>
          <w:szCs w:val="44"/>
        </w:rPr>
        <w:t>提</w:t>
      </w:r>
      <w:r>
        <w:rPr>
          <w:rStyle w:val="14"/>
          <w:rFonts w:hint="eastAsia"/>
          <w:sz w:val="44"/>
          <w:szCs w:val="44"/>
        </w:rPr>
        <w:t xml:space="preserve">   </w:t>
      </w:r>
      <w:r>
        <w:rPr>
          <w:rStyle w:val="14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4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4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4"/>
          <w:rFonts w:ascii="宋体" w:hAnsi="宋体"/>
          <w:kern w:val="0"/>
          <w:sz w:val="24"/>
        </w:rPr>
      </w:pPr>
      <w:r>
        <w:rPr>
          <w:rStyle w:val="14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K3ccfDTAAAAAwEAAA8AAAAAAAAAAQAgAAAAOAAAAGRycy9kb3ducmV2LnhtbFBLAQIUABQAAAAI&#10;AIdO4kDEGEtAowEAACwDAAAOAAAAAAAAAAEAIAAAADgBAABkcnMvZTJvRG9jLnhtbFBLBQYAAAAA&#10;BgAGAFkBAAB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4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4"/>
          <w:rFonts w:ascii="宋体" w:hAnsi="宋体"/>
          <w:kern w:val="0"/>
          <w:sz w:val="24"/>
        </w:rPr>
        <w:t>第十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4"/>
          <w:rFonts w:ascii="宋体" w:hAnsi="宋体"/>
          <w:kern w:val="0"/>
          <w:sz w:val="24"/>
        </w:rPr>
        <w:t>届第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4"/>
          <w:rFonts w:ascii="宋体" w:hAnsi="宋体"/>
          <w:kern w:val="0"/>
          <w:sz w:val="24"/>
        </w:rPr>
        <w:t>次会议　       　第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>031</w:t>
      </w:r>
      <w:r>
        <w:rPr>
          <w:rStyle w:val="14"/>
          <w:rFonts w:ascii="宋体" w:hAnsi="宋体"/>
          <w:kern w:val="0"/>
          <w:sz w:val="24"/>
        </w:rPr>
        <w:t xml:space="preserve">号　    </w:t>
      </w:r>
      <w:r>
        <w:rPr>
          <w:rStyle w:val="14"/>
          <w:rFonts w:hint="eastAsia" w:ascii="宋体" w:hAnsi="宋体"/>
          <w:kern w:val="0"/>
          <w:sz w:val="24"/>
        </w:rPr>
        <w:t xml:space="preserve">    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4"/>
          <w:rFonts w:ascii="宋体" w:hAnsi="宋体"/>
          <w:kern w:val="0"/>
          <w:sz w:val="24"/>
        </w:rPr>
      </w:pPr>
      <w:r>
        <w:rPr>
          <w:rStyle w:val="14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8zFbTtMAAAADAQAADwAAAAAAAAABACAAAAA4AAAAZHJzL2Rvd25yZXYueG1sUEsBAhQAFAAA&#10;AAgAh07iQIOCxBSlAQAALAMAAA4AAAAAAAAAAQAgAAAAOA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0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4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spacing w:line="540" w:lineRule="exact"/>
              <w:ind w:left="1606" w:hanging="1104" w:hangingChars="500"/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关于推动“黎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从榕桥头堡”农林产业融入粤港澳大湾区发展的建议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4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主办：州发改委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 xml:space="preserve">    会办：州农业农村局、州林业局、州交通局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ascii="黑体" w:hAnsi="宋体" w:eastAsia="黑体"/>
                <w:kern w:val="0"/>
                <w:sz w:val="24"/>
              </w:rPr>
            </w:pP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4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4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4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潘黔昆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4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lang w:eastAsia="zh-CN"/>
              </w:rPr>
              <w:t>黎平县政协办公室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4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</w:rPr>
              <w:t>55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7300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4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13908551658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4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4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4"/>
          <w:rFonts w:ascii="宋体" w:hAnsi="宋体"/>
          <w:kern w:val="0"/>
          <w:sz w:val="24"/>
        </w:rPr>
      </w:pPr>
      <w:r>
        <w:rPr>
          <w:rStyle w:val="14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Ct3HHw0wAAAAMBAAAPAAAAAAAAAAEAIAAAADgAAABkcnMvZG93bnJldi54bWxQSwECFAAUAAAA&#10;CACHTuJApQr876QBAAAsAwAADgAAAAAAAAABACAAAAA4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4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4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4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20" w:lineRule="exact"/>
        <w:ind w:left="0" w:leftChars="0" w:firstLine="638" w:firstLineChars="196"/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省委、省政府抢抓国家实施</w:t>
      </w:r>
      <w:r>
        <w:rPr>
          <w:rFonts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以粤港澳大湾区为龙头</w:t>
      </w: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的带动战略，提出打造“黎从榕桥头堡”战略布局，给</w:t>
      </w:r>
      <w:r>
        <w:rPr>
          <w:rFonts w:hint="eastAsia" w:ascii="仿宋_GB2312" w:eastAsia="仿宋_GB2312"/>
          <w:sz w:val="32"/>
          <w:szCs w:val="32"/>
        </w:rPr>
        <w:t>我州农业林业产业高质量发展带来了重大发展机遇</w:t>
      </w:r>
      <w:r>
        <w:rPr>
          <w:rFonts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从基础条件来看，我州区位优势明显、交通条件便捷、气候土</w:t>
      </w:r>
      <w:r>
        <w:rPr>
          <w:rFonts w:hint="eastAsia" w:ascii="仿宋_GB2312" w:hAnsi="华文仿宋" w:eastAsia="仿宋_GB2312" w:cs="华文仿宋"/>
          <w:sz w:val="32"/>
          <w:szCs w:val="32"/>
        </w:rPr>
        <w:t>壤适宜、</w:t>
      </w: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生态环境良好、</w:t>
      </w:r>
      <w:r>
        <w:rPr>
          <w:rFonts w:hint="eastAsia" w:ascii="仿宋_GB2312" w:hAnsi="华文仿宋" w:eastAsia="仿宋_GB2312" w:cs="华文仿宋"/>
          <w:sz w:val="32"/>
          <w:szCs w:val="32"/>
        </w:rPr>
        <w:t>林地资源丰</w:t>
      </w: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富、农业基础扎实，农林业产业具有加快发展的竞争力、内生力和牵引力。但是，在全州农林产业开发上</w:t>
      </w:r>
      <w:r>
        <w:rPr>
          <w:rFonts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存在发展不均衡、产业不突出、链条不健全、要素不充分、市场不稳定等问题。为此，就抢抓“黎从榕桥头堡”建设机遇，发展我州农业林业产业</w:t>
      </w: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spacing w:line="520" w:lineRule="exact"/>
        <w:ind w:left="0" w:leftChars="0" w:firstLine="638" w:firstLineChars="196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建议：</w:t>
      </w:r>
    </w:p>
    <w:p>
      <w:pPr>
        <w:spacing w:line="520" w:lineRule="exact"/>
        <w:ind w:left="0" w:leftChars="0" w:firstLine="627" w:firstLineChars="196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黑体" w:hAnsi="黑体" w:eastAsia="黑体" w:cs="华文仿宋"/>
          <w:bCs/>
          <w:sz w:val="32"/>
          <w:szCs w:val="32"/>
        </w:rPr>
        <w:t>一、抓紧规划布局全州农林产业。</w:t>
      </w:r>
      <w:r>
        <w:rPr>
          <w:rFonts w:hint="eastAsia" w:ascii="仿宋_GB2312" w:hAnsi="黑体" w:eastAsia="仿宋_GB2312" w:cs="华文仿宋"/>
          <w:bCs/>
          <w:sz w:val="32"/>
          <w:szCs w:val="32"/>
        </w:rPr>
        <w:t>牢牢</w:t>
      </w:r>
      <w:r>
        <w:rPr>
          <w:rFonts w:hint="eastAsia" w:ascii="仿宋_GB2312" w:hAnsi="华文仿宋" w:eastAsia="仿宋_GB2312" w:cs="华文仿宋"/>
          <w:sz w:val="32"/>
          <w:szCs w:val="32"/>
        </w:rPr>
        <w:t>抓住林业农业生产效益周期特点，加快研究制定我州以黎从榕桥头堡为中心的农林产业发展规划，明确全州3-5个主导产业，按照一县一业要求，明确各县主导产业的目标、任务、路径，出台差异化考核机制，久久为功，持续用力，保持主导产业发展坚定性、持续性和稳定性。</w:t>
      </w:r>
    </w:p>
    <w:p>
      <w:pPr>
        <w:pStyle w:val="25"/>
        <w:spacing w:line="520" w:lineRule="exact"/>
        <w:ind w:left="0" w:leftChars="0"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华文仿宋"/>
          <w:bCs/>
          <w:sz w:val="32"/>
          <w:szCs w:val="32"/>
        </w:rPr>
        <w:t>二，争取国家和省级农林产业发展政策。</w:t>
      </w:r>
      <w:r>
        <w:rPr>
          <w:rFonts w:hint="eastAsia" w:ascii="仿宋_GB2312" w:hAnsi="黑体" w:eastAsia="仿宋_GB2312" w:cs="华文仿宋"/>
          <w:bCs/>
          <w:sz w:val="32"/>
          <w:szCs w:val="32"/>
        </w:rPr>
        <w:t>紧紧</w:t>
      </w:r>
      <w:r>
        <w:rPr>
          <w:rFonts w:hint="eastAsia" w:ascii="仿宋_GB2312" w:eastAsia="仿宋_GB2312"/>
          <w:sz w:val="32"/>
          <w:szCs w:val="32"/>
        </w:rPr>
        <w:t>围绕创建百亿级的木材深加工、农产品精加工、大健康产业等农林产业，</w:t>
      </w: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争取国家和省级</w:t>
      </w:r>
      <w:r>
        <w:rPr>
          <w:rFonts w:hint="eastAsia" w:ascii="仿宋_GB2312" w:eastAsia="仿宋_GB2312"/>
          <w:sz w:val="32"/>
          <w:szCs w:val="32"/>
        </w:rPr>
        <w:t>土地、财政、金融政策支持，力争在</w:t>
      </w: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预算内投资、地方政府专项债券、“四化”基金扶持上得到倾斜。</w:t>
      </w:r>
      <w:r>
        <w:rPr>
          <w:rFonts w:hint="eastAsia" w:ascii="仿宋_GB2312" w:hAnsi="华文仿宋" w:eastAsia="仿宋_GB2312" w:cs="华文仿宋"/>
          <w:sz w:val="32"/>
          <w:szCs w:val="32"/>
        </w:rPr>
        <w:t>加大对</w:t>
      </w: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油茶、茶叶、蓝莓等特色农林产业投资力度，</w:t>
      </w:r>
      <w:r>
        <w:rPr>
          <w:rFonts w:hint="eastAsia" w:ascii="仿宋_GB2312" w:eastAsia="仿宋_GB2312"/>
          <w:sz w:val="32"/>
          <w:szCs w:val="32"/>
        </w:rPr>
        <w:t>扩大优势特色农产品保险政策覆盖面。</w:t>
      </w:r>
    </w:p>
    <w:p>
      <w:pPr>
        <w:pStyle w:val="25"/>
        <w:spacing w:line="520" w:lineRule="exact"/>
        <w:ind w:left="0" w:leftChars="0" w:firstLine="627" w:firstLineChars="196"/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华文仿宋"/>
          <w:bCs/>
          <w:color w:val="auto"/>
          <w:sz w:val="32"/>
          <w:szCs w:val="32"/>
        </w:rPr>
        <w:t>三、建设大湾区优质农产品保供基地。</w:t>
      </w:r>
      <w:r>
        <w:rPr>
          <w:rFonts w:hint="eastAsia" w:ascii="仿宋_GB2312" w:hAnsi="黑体" w:eastAsia="仿宋_GB2312" w:cs="华文仿宋"/>
          <w:bCs/>
          <w:color w:val="auto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争取高标准农田建设项目指标，配套建设坝区机耕路、节水灌溉等农业基础设施，完善坝区农产品冷链、仓储设施项目，提高坝区农业生产标准化、规模化水平，</w:t>
      </w:r>
      <w:r>
        <w:rPr>
          <w:rFonts w:hint="eastAsia" w:ascii="仿宋_GB2312" w:hAnsi="华文仿宋" w:eastAsia="仿宋_GB2312" w:cs="华文仿宋"/>
          <w:sz w:val="32"/>
          <w:szCs w:val="32"/>
        </w:rPr>
        <w:t>引进</w:t>
      </w: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孵化大湾区农业科研成果，推广蔬菜新品</w:t>
      </w:r>
      <w:r>
        <w:rPr>
          <w:rFonts w:hint="eastAsia" w:ascii="仿宋_GB2312" w:hAnsi="仿宋_GB2312" w:eastAsia="仿宋_GB2312" w:cs="仿宋_GB2312"/>
          <w:sz w:val="32"/>
          <w:szCs w:val="32"/>
        </w:rPr>
        <w:t>种，</w:t>
      </w: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建设大湾区菜篮子</w:t>
      </w:r>
      <w:r>
        <w:rPr>
          <w:rFonts w:hint="eastAsia" w:ascii="仿宋_GB2312" w:hAnsi="仿宋_GB2312" w:eastAsia="仿宋_GB2312" w:cs="仿宋_GB2312"/>
          <w:sz w:val="32"/>
          <w:szCs w:val="32"/>
        </w:rPr>
        <w:t>优质农产品</w:t>
      </w: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保供基地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。发展订单生产，加强农校、农医、农企、农超等对接，不断扩大农产品的销售渠道</w:t>
      </w: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，推动“苗侗山珍”走出大山。</w:t>
      </w:r>
    </w:p>
    <w:p>
      <w:pPr>
        <w:pStyle w:val="9"/>
        <w:widowControl/>
        <w:spacing w:before="0" w:beforeAutospacing="0" w:after="0" w:afterAutospacing="0" w:line="520" w:lineRule="exact"/>
        <w:ind w:left="0" w:leftChars="0"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华文仿宋"/>
          <w:bCs/>
          <w:sz w:val="32"/>
          <w:szCs w:val="32"/>
        </w:rPr>
        <w:t>四、统筹创建对口帮扶招商发展平台。</w:t>
      </w:r>
      <w:r>
        <w:rPr>
          <w:rFonts w:hint="eastAsia" w:ascii="仿宋_GB2312" w:eastAsia="仿宋_GB2312"/>
          <w:sz w:val="32"/>
          <w:szCs w:val="32"/>
        </w:rPr>
        <w:t>依托侗乡大健康产业示范区，谋划大湾区产业项目转移承接工作，统筹农林业招商引资,在土地和项目资金上，支持黎平、从江、榕江园区改善产业承接设施建设。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利用佛山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帮扶契机，借助佛山市作为中国家具制造业的龙头品牌，聚集全州林业优势，对接引进佛山木材家具精深加工企业，吸引更多农业林业精深加工企业，将“桥头堡”建成对外招商的窗口平台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5"/>
        <w:spacing w:line="520" w:lineRule="exact"/>
        <w:ind w:left="0" w:leftChars="0" w:firstLine="627" w:firstLineChars="196"/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华文仿宋"/>
          <w:bCs/>
          <w:color w:val="auto"/>
          <w:sz w:val="32"/>
          <w:szCs w:val="32"/>
        </w:rPr>
        <w:t>五、提升农林产品物流大交通能力。</w:t>
      </w:r>
      <w:r>
        <w:rPr>
          <w:rFonts w:hint="eastAsia" w:ascii="仿宋_GB2312" w:hAnsi="黑体" w:eastAsia="仿宋_GB2312" w:cs="华文仿宋"/>
          <w:bCs/>
          <w:color w:val="auto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对接贵州至大湾区交通提速工作，早日实现</w:t>
      </w:r>
      <w:r>
        <w:rPr>
          <w:rFonts w:hint="eastAsia" w:ascii="仿宋_GB2312" w:hAnsi="华文仿宋" w:eastAsia="仿宋_GB2312" w:cs="华文仿宋"/>
          <w:color w:val="1F1F1F"/>
          <w:spacing w:val="3"/>
          <w:kern w:val="0"/>
          <w:sz w:val="32"/>
          <w:szCs w:val="32"/>
          <w:shd w:val="clear" w:color="auto" w:fill="FFFFFF"/>
          <w:lang w:bidi="ar"/>
        </w:rPr>
        <w:t>贵广高铁提速运行，力争规划建设兴义—黎从榕桥头堡—永州铁路，缩小城市空间，扩大农林产品物流大通道。积极争取启动黎平至榕江高速规划建设，改造提升城市连接干线，改善园区到基地交通条件，为农产品物流提供交通基础保障。</w:t>
      </w:r>
    </w:p>
    <w:p>
      <w:pPr>
        <w:spacing w:line="560" w:lineRule="exact"/>
        <w:ind w:left="0" w:leftChars="0" w:firstLine="640" w:firstLineChars="200"/>
        <w:rPr>
          <w:rStyle w:val="14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注：1、提案会办单位需将会办意见送主办单位，由主办单位连同《提案答复件》、《征询意见表》一并抄送州政协；（涉及目标考核）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left="0" w:leftChars="0" w:firstLine="640" w:firstLineChars="200"/>
        <w:rPr>
          <w:rStyle w:val="14"/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altName w:val="汉仪仿宋简"/>
    <w:panose1 w:val="02010600040001010101"/>
    <w:charset w:val="00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Style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true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B66956"/>
    <w:rsid w:val="10B40BCC"/>
    <w:rsid w:val="118823F2"/>
    <w:rsid w:val="18EC1E64"/>
    <w:rsid w:val="1BAB45FA"/>
    <w:rsid w:val="20E366FE"/>
    <w:rsid w:val="21EA0B57"/>
    <w:rsid w:val="29EB237C"/>
    <w:rsid w:val="2FD84B80"/>
    <w:rsid w:val="30B878C9"/>
    <w:rsid w:val="33552650"/>
    <w:rsid w:val="377737A4"/>
    <w:rsid w:val="38D60616"/>
    <w:rsid w:val="3A7B4D73"/>
    <w:rsid w:val="3BE7499D"/>
    <w:rsid w:val="3F1A5C90"/>
    <w:rsid w:val="42F10C9F"/>
    <w:rsid w:val="493508EE"/>
    <w:rsid w:val="497C7186"/>
    <w:rsid w:val="4A196944"/>
    <w:rsid w:val="4F1E6C2C"/>
    <w:rsid w:val="4F6B5D70"/>
    <w:rsid w:val="507F065A"/>
    <w:rsid w:val="5236789E"/>
    <w:rsid w:val="559F1A55"/>
    <w:rsid w:val="5A7C34BF"/>
    <w:rsid w:val="5AA17385"/>
    <w:rsid w:val="5B7C24C8"/>
    <w:rsid w:val="5E7C7E34"/>
    <w:rsid w:val="61895CCF"/>
    <w:rsid w:val="66F35DD9"/>
    <w:rsid w:val="6854075C"/>
    <w:rsid w:val="69A37ABB"/>
    <w:rsid w:val="762A4BFD"/>
    <w:rsid w:val="7C1F064D"/>
    <w:rsid w:val="7FFF2EBA"/>
    <w:rsid w:val="FEEF8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"/>
    <w:basedOn w:val="3"/>
    <w:qFormat/>
    <w:uiPriority w:val="0"/>
    <w:pPr>
      <w:ind w:firstLine="420" w:firstLineChars="200"/>
    </w:pPr>
    <w:rPr>
      <w:rFonts w:ascii="Calibri" w:hAnsi="Calibri" w:eastAsia="宋体" w:cs="宋体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99"/>
    <w:pPr>
      <w:spacing w:after="120" w:line="480" w:lineRule="auto"/>
      <w:ind w:left="420" w:leftChars="200"/>
    </w:pPr>
  </w:style>
  <w:style w:type="paragraph" w:styleId="5">
    <w:name w:val="Body Text Indent 3"/>
    <w:basedOn w:val="1"/>
    <w:qFormat/>
    <w:uiPriority w:val="99"/>
    <w:pPr>
      <w:ind w:left="200" w:leftChars="200"/>
    </w:pPr>
    <w:rPr>
      <w:sz w:val="16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7">
    <w:name w:val="footer"/>
    <w:basedOn w:val="1"/>
    <w:link w:val="24"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Hyperlink"/>
    <w:basedOn w:val="14"/>
    <w:semiHidden/>
    <w:qFormat/>
    <w:uiPriority w:val="0"/>
    <w:rPr>
      <w:color w:val="0000FF"/>
      <w:u w:val="singl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Heading1"/>
    <w:basedOn w:val="1"/>
    <w:link w:val="2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Acetate"/>
    <w:basedOn w:val="1"/>
    <w:qFormat/>
    <w:uiPriority w:val="0"/>
    <w:rPr>
      <w:sz w:val="18"/>
      <w:szCs w:val="18"/>
    </w:rPr>
  </w:style>
  <w:style w:type="paragraph" w:customStyle="1" w:styleId="18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9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0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1">
    <w:name w:val="UserStyle_3"/>
    <w:basedOn w:val="14"/>
    <w:link w:val="15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UserStyle_4"/>
    <w:basedOn w:val="14"/>
    <w:qFormat/>
    <w:uiPriority w:val="0"/>
  </w:style>
  <w:style w:type="paragraph" w:customStyle="1" w:styleId="23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4">
    <w:name w:val="页脚 Char"/>
    <w:basedOn w:val="11"/>
    <w:link w:val="7"/>
    <w:qFormat/>
    <w:uiPriority w:val="99"/>
    <w:rPr>
      <w:rFonts w:cstheme="minorBidi"/>
      <w:kern w:val="2"/>
      <w:sz w:val="18"/>
      <w:szCs w:val="18"/>
    </w:rPr>
  </w:style>
  <w:style w:type="paragraph" w:customStyle="1" w:styleId="25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7">
    <w:name w:val="BodyText2"/>
    <w:basedOn w:val="1"/>
    <w:qFormat/>
    <w:uiPriority w:val="0"/>
    <w:pPr>
      <w:widowControl/>
      <w:spacing w:after="120" w:line="480" w:lineRule="auto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2021-01-13T12:51:00Z</dcterms:created>
  <dc:creator>Administrator</dc:creator>
  <cp:lastModifiedBy>ysgz</cp:lastModifiedBy>
  <cp:lastPrinted>2021-02-26T10:55:00Z</cp:lastPrinted>
  <dcterms:modified xsi:type="dcterms:W3CDTF">2022-01-05T16:56:14Z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0BEFFA9D6DA34548976C4312CA596319</vt:lpwstr>
  </property>
</Properties>
</file>