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sz w:val="44"/>
          <w:szCs w:val="44"/>
        </w:rPr>
      </w:pPr>
      <w:r>
        <w:rPr>
          <w:rStyle w:val="10"/>
          <w:sz w:val="44"/>
          <w:szCs w:val="44"/>
        </w:rPr>
        <w:t>提案</w:t>
      </w:r>
    </w:p>
    <w:p>
      <w:pPr>
        <w:spacing w:line="320" w:lineRule="exact"/>
        <w:jc w:val="center"/>
        <w:textAlignment w:val="top"/>
        <w:rPr>
          <w:rStyle w:val="10"/>
          <w:rFonts w:ascii="宋体" w:hAnsi="宋体"/>
          <w:kern w:val="0"/>
          <w:sz w:val="24"/>
        </w:rPr>
      </w:pPr>
    </w:p>
    <w:p>
      <w:pPr>
        <w:spacing w:line="320" w:lineRule="exact"/>
        <w:jc w:val="center"/>
        <w:textAlignment w:val="top"/>
        <w:rPr>
          <w:rStyle w:val="10"/>
          <w:rFonts w:ascii="宋体" w:hAnsi="宋体"/>
          <w:kern w:val="0"/>
          <w:sz w:val="24"/>
        </w:rPr>
      </w:pPr>
    </w:p>
    <w:p>
      <w:pPr>
        <w:spacing w:line="760" w:lineRule="exact"/>
        <w:textAlignment w:val="top"/>
        <w:rPr>
          <w:rStyle w:val="10"/>
          <w:rFonts w:ascii="宋体" w:hAnsi="宋体"/>
          <w:kern w:val="0"/>
          <w:sz w:val="24"/>
        </w:rPr>
      </w:pPr>
      <w:r>
        <w:rPr>
          <w:rStyle w:val="10"/>
          <w:rFonts w:ascii="宋体" w:hAnsi="宋体"/>
          <w:kern w:val="0"/>
          <w:sz w:val="24"/>
        </w:rPr>
        <w:pict>
          <v:rect id="_x0000_s1028" o:spid="_x0000_s1028"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path/>
            <v:fill on="t" focussize="0,0"/>
            <v:stroke on="f"/>
            <v:imagedata o:title=""/>
            <o:lock v:ext="edit"/>
            <v:textbox>
              <w:txbxContent>
                <w:p/>
              </w:txbxContent>
            </v:textbox>
            <w10:wrap type="none"/>
            <w10:anchorlock/>
          </v:rect>
        </w:pict>
      </w:r>
    </w:p>
    <w:p>
      <w:pPr>
        <w:spacing w:line="320" w:lineRule="exact"/>
        <w:rPr>
          <w:rStyle w:val="10"/>
          <w:rFonts w:ascii="宋体" w:hAnsi="宋体"/>
          <w:kern w:val="0"/>
          <w:sz w:val="24"/>
        </w:rPr>
      </w:pPr>
      <w:r>
        <w:rPr>
          <w:rStyle w:val="10"/>
          <w:rFonts w:ascii="宋体" w:hAnsi="宋体"/>
          <w:kern w:val="0"/>
          <w:sz w:val="24"/>
        </w:rPr>
        <w:t>第十</w:t>
      </w:r>
      <w:r>
        <w:rPr>
          <w:rStyle w:val="10"/>
          <w:rFonts w:hint="eastAsia" w:ascii="宋体" w:hAnsi="宋体"/>
          <w:kern w:val="0"/>
          <w:sz w:val="24"/>
        </w:rPr>
        <w:t>三</w:t>
      </w:r>
      <w:r>
        <w:rPr>
          <w:rStyle w:val="10"/>
          <w:rFonts w:ascii="宋体" w:hAnsi="宋体"/>
          <w:kern w:val="0"/>
          <w:sz w:val="24"/>
        </w:rPr>
        <w:t>届第</w:t>
      </w:r>
      <w:r>
        <w:rPr>
          <w:rStyle w:val="10"/>
          <w:rFonts w:hint="eastAsia" w:ascii="宋体" w:hAnsi="宋体"/>
          <w:kern w:val="0"/>
          <w:sz w:val="24"/>
        </w:rPr>
        <w:t>一</w:t>
      </w:r>
      <w:r>
        <w:rPr>
          <w:rStyle w:val="10"/>
          <w:rFonts w:ascii="宋体" w:hAnsi="宋体"/>
          <w:kern w:val="0"/>
          <w:sz w:val="24"/>
        </w:rPr>
        <w:t>次会议　       　第</w:t>
      </w:r>
      <w:r>
        <w:rPr>
          <w:rStyle w:val="10"/>
          <w:rFonts w:hint="eastAsia" w:ascii="宋体" w:hAnsi="宋体"/>
          <w:kern w:val="0"/>
          <w:sz w:val="24"/>
        </w:rPr>
        <w:t>0</w:t>
      </w:r>
      <w:r>
        <w:rPr>
          <w:rStyle w:val="10"/>
          <w:rFonts w:hint="eastAsia" w:ascii="宋体" w:hAnsi="宋体"/>
          <w:kern w:val="0"/>
          <w:sz w:val="24"/>
          <w:lang w:val="en-US" w:eastAsia="zh-CN"/>
        </w:rPr>
        <w:t>11</w:t>
      </w:r>
      <w:bookmarkStart w:id="0" w:name="_GoBack"/>
      <w:bookmarkEnd w:id="0"/>
      <w:r>
        <w:rPr>
          <w:rStyle w:val="10"/>
          <w:rFonts w:ascii="宋体" w:hAnsi="宋体"/>
          <w:kern w:val="0"/>
          <w:sz w:val="24"/>
        </w:rPr>
        <w:t xml:space="preserve">号　    </w:t>
      </w:r>
      <w:r>
        <w:rPr>
          <w:rStyle w:val="10"/>
          <w:rFonts w:hint="eastAsia" w:ascii="宋体" w:hAnsi="宋体"/>
          <w:kern w:val="0"/>
          <w:sz w:val="24"/>
        </w:rPr>
        <w:t xml:space="preserve"> 类别：社会建设类     </w:t>
      </w:r>
    </w:p>
    <w:p>
      <w:pPr>
        <w:spacing w:line="320" w:lineRule="exact"/>
        <w:jc w:val="left"/>
        <w:rPr>
          <w:rStyle w:val="10"/>
          <w:rFonts w:ascii="宋体" w:hAnsi="宋体"/>
          <w:kern w:val="0"/>
          <w:sz w:val="24"/>
        </w:rPr>
      </w:pPr>
      <w:r>
        <w:rPr>
          <w:rStyle w:val="10"/>
          <w:rFonts w:ascii="宋体" w:hAnsi="宋体"/>
          <w:kern w:val="0"/>
          <w:sz w:val="24"/>
        </w:rPr>
        <w:pict>
          <v:rect id="_x0000_s1027" o:spid="_x0000_s1027"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path/>
            <v:fill on="t" focussize="0,0"/>
            <v:stroke on="f"/>
            <v:imagedata o:title=""/>
            <o:lock v:ext="edit"/>
            <v:textbox>
              <w:txbxContent>
                <w:p/>
              </w:txbxContent>
            </v:textbox>
            <w10:wrap type="none"/>
            <w10:anchorlock/>
          </v:rect>
        </w:pic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eastAsiaTheme="minorEastAsia"/>
                <w:b/>
                <w:bCs/>
                <w:kern w:val="0"/>
                <w:sz w:val="24"/>
              </w:rPr>
              <w:t>关于进一步加强中小学生心理健康教育工作的建议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主办：州教育局    会办：州卫健局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宋体" w:hAnsi="宋体"/>
                <w:kern w:val="0"/>
                <w:sz w:val="24"/>
              </w:rPr>
              <w:t>农工党黔东南州工委</w:t>
            </w:r>
          </w:p>
        </w:tc>
        <w:tc>
          <w:tcPr>
            <w:tcW w:w="3872" w:type="dxa"/>
            <w:vAlign w:val="center"/>
          </w:tcPr>
          <w:p>
            <w:pPr>
              <w:jc w:val="left"/>
              <w:rPr>
                <w:rStyle w:val="10"/>
                <w:rFonts w:ascii="宋体" w:hAnsi="宋体"/>
                <w:kern w:val="0"/>
                <w:sz w:val="24"/>
              </w:rPr>
            </w:pPr>
            <w:r>
              <w:rPr>
                <w:rStyle w:val="10"/>
                <w:rFonts w:hint="eastAsia" w:ascii="宋体" w:hAnsi="宋体"/>
                <w:kern w:val="0"/>
                <w:sz w:val="24"/>
              </w:rPr>
              <w:t>凯里市文化北路15号</w:t>
            </w:r>
          </w:p>
        </w:tc>
        <w:tc>
          <w:tcPr>
            <w:tcW w:w="1440" w:type="dxa"/>
            <w:vAlign w:val="center"/>
          </w:tcPr>
          <w:p>
            <w:pPr>
              <w:jc w:val="left"/>
              <w:rPr>
                <w:rStyle w:val="10"/>
                <w:rFonts w:ascii="宋体" w:hAnsi="宋体"/>
                <w:kern w:val="0"/>
                <w:sz w:val="24"/>
              </w:rPr>
            </w:pPr>
            <w:r>
              <w:rPr>
                <w:rStyle w:val="10"/>
                <w:rFonts w:hint="eastAsia" w:ascii="宋体" w:hAnsi="宋体"/>
                <w:kern w:val="0"/>
                <w:sz w:val="24"/>
              </w:rPr>
              <w:t>556000</w:t>
            </w:r>
          </w:p>
        </w:tc>
        <w:tc>
          <w:tcPr>
            <w:tcW w:w="1485" w:type="dxa"/>
            <w:vAlign w:val="center"/>
          </w:tcPr>
          <w:p>
            <w:pPr>
              <w:jc w:val="left"/>
              <w:rPr>
                <w:rStyle w:val="10"/>
                <w:rFonts w:ascii="宋体" w:hAnsi="宋体"/>
                <w:kern w:val="0"/>
                <w:sz w:val="24"/>
              </w:rPr>
            </w:pPr>
            <w:r>
              <w:rPr>
                <w:rStyle w:val="10"/>
                <w:rFonts w:hint="eastAsia" w:ascii="宋体" w:hAnsi="宋体"/>
                <w:kern w:val="0"/>
                <w:sz w:val="24"/>
              </w:rPr>
              <w:t>13765529333</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黑体" w:hAnsi="宋体" w:eastAsia="黑体" w:cs="宋体"/>
                <w:b/>
                <w:bCs/>
                <w:kern w:val="0"/>
                <w:sz w:val="24"/>
                <w:szCs w:val="22"/>
              </w:rPr>
              <w:t>工作联系电话：</w:t>
            </w:r>
          </w:p>
        </w:tc>
        <w:tc>
          <w:tcPr>
            <w:tcW w:w="6797" w:type="dxa"/>
            <w:gridSpan w:val="3"/>
            <w:vAlign w:val="center"/>
          </w:tcPr>
          <w:p>
            <w:pPr>
              <w:jc w:val="left"/>
              <w:rPr>
                <w:rStyle w:val="10"/>
                <w:rFonts w:ascii="宋体" w:hAnsi="宋体"/>
                <w:kern w:val="0"/>
                <w:sz w:val="24"/>
              </w:rPr>
            </w:pPr>
            <w:r>
              <w:rPr>
                <w:rStyle w:val="10"/>
                <w:rFonts w:hint="eastAsia" w:ascii="宋体" w:hAnsi="宋体"/>
                <w:kern w:val="0"/>
                <w:sz w:val="24"/>
              </w:rPr>
              <w:t>州委办秘书五科：8270060；州政府办建议提案科：8260016；</w:t>
            </w:r>
          </w:p>
          <w:p>
            <w:pPr>
              <w:jc w:val="left"/>
              <w:rPr>
                <w:rStyle w:val="10"/>
                <w:rFonts w:ascii="宋体" w:hAnsi="宋体"/>
                <w:kern w:val="0"/>
                <w:sz w:val="24"/>
              </w:rPr>
            </w:pPr>
            <w:r>
              <w:rPr>
                <w:rStyle w:val="10"/>
                <w:rFonts w:hint="eastAsia" w:ascii="宋体" w:hAnsi="宋体"/>
                <w:kern w:val="0"/>
                <w:sz w:val="24"/>
              </w:rPr>
              <w:t>州政协提案委：8428866。</w:t>
            </w:r>
          </w:p>
        </w:tc>
      </w:tr>
    </w:tbl>
    <w:p>
      <w:pPr>
        <w:jc w:val="left"/>
        <w:rPr>
          <w:rStyle w:val="10"/>
          <w:rFonts w:ascii="宋体" w:hAnsi="宋体"/>
          <w:kern w:val="0"/>
          <w:sz w:val="24"/>
        </w:rPr>
      </w:pPr>
      <w:r>
        <w:rPr>
          <w:rStyle w:val="10"/>
          <w:rFonts w:ascii="宋体" w:hAnsi="宋体"/>
          <w:kern w:val="0"/>
          <w:sz w:val="24"/>
        </w:rPr>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path/>
            <v:fill on="t" focussize="0,0"/>
            <v:stroke on="f"/>
            <v:imagedata o:title=""/>
            <o:lock v:ext="edit"/>
            <v:textbox>
              <w:txbxContent>
                <w:p/>
              </w:txbxContent>
            </v:textbox>
            <w10:wrap type="none"/>
            <w10:anchorlock/>
          </v:rect>
        </w:pict>
      </w:r>
    </w:p>
    <w:p>
      <w:pPr>
        <w:spacing w:line="560" w:lineRule="exact"/>
        <w:rPr>
          <w:rStyle w:val="10"/>
          <w:rFonts w:ascii="仿宋_GB2312" w:hAnsi="宋体" w:eastAsia="仿宋_GB2312"/>
          <w:kern w:val="0"/>
          <w:sz w:val="32"/>
          <w:szCs w:val="32"/>
        </w:rPr>
      </w:pPr>
      <w:r>
        <w:rPr>
          <w:rStyle w:val="10"/>
          <w:rFonts w:hint="eastAsia" w:ascii="仿宋_GB2312" w:hAnsi="宋体" w:eastAsia="仿宋_GB2312"/>
          <w:kern w:val="0"/>
          <w:sz w:val="32"/>
          <w:szCs w:val="32"/>
        </w:rPr>
        <w:t>内容和办法：</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中小学生心理健康越来越受社会关注，为了解我州中小学生心理健康状况，农工党黔东南州工委联合黔东南州心理卫生协会对凯里、麻江等五县市开展了中小学生心理健康教育工作的调研，对约1000名中小学生(其中，留守儿童占比65%)进行了心理健康专业检测。（从学习焦虑、社交焦虑、孤独倾向、自责倾向、过敏倾向、身体症状、恐怖倾向、自责倾向8个维度进行检测）。</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测试结果表明：只有 28.55%的学生每个维度得分在正常范围内，71.45%的学生至少有一个维度存在心理失常情况。测试小学生预警15%、初中生预警51%、高中生预警30%；比对2020年中国国民心理健康蓝皮书，我州小学生预警占比低于蓝皮书参考值的9.6%，初中生预警占比高于蓝皮书参考值的26.4%，高中生预警占比高于蓝皮书参考值的5.4%，初中预警占比最高。此状况需高度重视，对学生开展学习压力应对、学习策略支持、学生抗挫能力增强，生涯规划、心理健康教育或心理健康咨询服务等工作很有必要，尤其是在新冠肺炎疫情常态化时期开展心理健康教育更为重要。</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近年来，我州对中小学生心理健康教育开展了大量的工作，州教育局印发了《关于进一步加强全州学生心理健康教育工作的实施意见》（黔东南教德通[2020]76号），各市县配备了一些专兼职教师，但是各县市开展学生心理健康教育工作水平不均衡，县与县之间、县域内学校之间差距也较大，学生心理健康教育工作还存在一些困难和问题，主要是：</w:t>
      </w:r>
    </w:p>
    <w:p>
      <w:pPr>
        <w:autoSpaceDE w:val="0"/>
        <w:spacing w:line="560" w:lineRule="exact"/>
        <w:ind w:firstLine="643" w:firstLineChars="200"/>
        <w:rPr>
          <w:rFonts w:ascii="仿宋" w:hAnsi="仿宋" w:eastAsia="仿宋"/>
          <w:sz w:val="32"/>
          <w:szCs w:val="32"/>
        </w:rPr>
      </w:pPr>
      <w:r>
        <w:rPr>
          <w:rFonts w:hint="eastAsia" w:ascii="仿宋" w:hAnsi="仿宋" w:eastAsia="仿宋"/>
          <w:b/>
          <w:bCs/>
          <w:sz w:val="32"/>
          <w:szCs w:val="32"/>
        </w:rPr>
        <w:t>（一）对心理健康教育工作的</w:t>
      </w:r>
      <w:r>
        <w:rPr>
          <w:rFonts w:hint="eastAsia" w:ascii="仿宋" w:hAnsi="仿宋" w:eastAsia="仿宋"/>
          <w:b/>
          <w:sz w:val="32"/>
          <w:szCs w:val="32"/>
        </w:rPr>
        <w:t>重视不够。</w:t>
      </w:r>
      <w:r>
        <w:rPr>
          <w:rFonts w:hint="eastAsia" w:ascii="仿宋" w:hAnsi="仿宋" w:eastAsia="仿宋"/>
          <w:sz w:val="32"/>
          <w:szCs w:val="32"/>
        </w:rPr>
        <w:t>强调以学习成绩为主的观念弱化了学生心理健康教育，对学生的心理健康、情感教育和感恩教育等未及时有效引导。</w:t>
      </w:r>
    </w:p>
    <w:p>
      <w:pPr>
        <w:autoSpaceDE w:val="0"/>
        <w:spacing w:line="560" w:lineRule="exact"/>
        <w:ind w:firstLine="643" w:firstLineChars="200"/>
        <w:rPr>
          <w:rFonts w:ascii="仿宋" w:hAnsi="仿宋" w:eastAsia="仿宋"/>
          <w:sz w:val="32"/>
          <w:szCs w:val="32"/>
        </w:rPr>
      </w:pPr>
      <w:r>
        <w:rPr>
          <w:rFonts w:hint="eastAsia" w:ascii="仿宋" w:hAnsi="仿宋" w:eastAsia="仿宋"/>
          <w:b/>
          <w:bCs/>
          <w:sz w:val="32"/>
          <w:szCs w:val="32"/>
        </w:rPr>
        <w:t>（二）专职心理健康教育教师配备不足</w:t>
      </w:r>
      <w:r>
        <w:rPr>
          <w:rFonts w:hint="eastAsia" w:ascii="仿宋" w:hAnsi="仿宋" w:eastAsia="仿宋"/>
          <w:sz w:val="32"/>
          <w:szCs w:val="32"/>
        </w:rPr>
        <w:t>。目前全州仅有心理学专职教师74人，兼职教师856人。全州1622所中小学校配有专兼职心理教师的学校566所， 1056所学校尚未配备专兼职心理健康教师。</w:t>
      </w:r>
    </w:p>
    <w:p>
      <w:pPr>
        <w:autoSpaceDE w:val="0"/>
        <w:spacing w:line="560" w:lineRule="exact"/>
        <w:ind w:firstLine="643" w:firstLineChars="200"/>
        <w:rPr>
          <w:rFonts w:ascii="仿宋" w:hAnsi="仿宋" w:eastAsia="仿宋"/>
          <w:sz w:val="32"/>
          <w:szCs w:val="32"/>
        </w:rPr>
      </w:pPr>
      <w:r>
        <w:rPr>
          <w:rFonts w:hint="eastAsia" w:ascii="仿宋" w:hAnsi="仿宋" w:eastAsia="仿宋"/>
          <w:b/>
          <w:bCs/>
          <w:sz w:val="32"/>
          <w:szCs w:val="32"/>
        </w:rPr>
        <w:t>（三）健康教育心理辅导室建设滞后。</w:t>
      </w:r>
      <w:r>
        <w:rPr>
          <w:rFonts w:hint="eastAsia" w:ascii="仿宋" w:hAnsi="仿宋" w:eastAsia="仿宋"/>
          <w:sz w:val="32"/>
          <w:szCs w:val="32"/>
        </w:rPr>
        <w:t>全州1622所中小学配置心理辅导室490所，未配置 1112所，部分学校有场地，但设施达不到标准。</w:t>
      </w:r>
    </w:p>
    <w:p>
      <w:pPr>
        <w:autoSpaceDE w:val="0"/>
        <w:spacing w:line="560" w:lineRule="exact"/>
        <w:ind w:firstLine="643" w:firstLineChars="200"/>
        <w:rPr>
          <w:rFonts w:ascii="仿宋" w:hAnsi="仿宋" w:eastAsia="仿宋"/>
          <w:sz w:val="32"/>
          <w:szCs w:val="32"/>
        </w:rPr>
      </w:pPr>
      <w:r>
        <w:rPr>
          <w:rFonts w:hint="eastAsia" w:ascii="仿宋" w:hAnsi="仿宋" w:eastAsia="仿宋"/>
          <w:b/>
          <w:bCs/>
          <w:sz w:val="32"/>
          <w:szCs w:val="32"/>
        </w:rPr>
        <w:t>（四）健康教育教学课程开展水平不一</w:t>
      </w:r>
      <w:r>
        <w:rPr>
          <w:rFonts w:hint="eastAsia" w:ascii="仿宋" w:hAnsi="仿宋" w:eastAsia="仿宋"/>
          <w:sz w:val="32"/>
          <w:szCs w:val="32"/>
        </w:rPr>
        <w:t>。如岑巩县把心理干预教育纳入学校常规课程进行教学，心理学课程开展每周达0.5学时；学生测评次数每人每年达2次，探索的“456”模式得到省级认可并推广；麻江县2021年开始对全县配备心理健康教育教师，同时采用社会购买服务方式加强学生心理健康教育及心理普测。而多数学校专业教师因缺乏实践工作经验，难以开展心理咨询、心理矫正等活动；甚至有的学校没有专业教师无法开展工作。</w:t>
      </w:r>
    </w:p>
    <w:p>
      <w:pPr>
        <w:autoSpaceDE w:val="0"/>
        <w:spacing w:line="560" w:lineRule="exact"/>
        <w:ind w:firstLine="640" w:firstLineChars="200"/>
        <w:rPr>
          <w:rFonts w:ascii="黑体" w:hAnsi="黑体" w:eastAsia="黑体"/>
          <w:sz w:val="32"/>
          <w:szCs w:val="32"/>
        </w:rPr>
      </w:pPr>
      <w:r>
        <w:rPr>
          <w:rFonts w:hint="eastAsia" w:ascii="黑体" w:hAnsi="黑体" w:eastAsia="黑体"/>
          <w:bCs/>
          <w:sz w:val="32"/>
          <w:szCs w:val="32"/>
        </w:rPr>
        <w:t>对策建议</w:t>
      </w:r>
      <w:r>
        <w:rPr>
          <w:rFonts w:hint="eastAsia" w:ascii="黑体" w:hAnsi="黑体" w:eastAsia="黑体"/>
          <w:sz w:val="32"/>
          <w:szCs w:val="32"/>
        </w:rPr>
        <w:t>：</w:t>
      </w:r>
    </w:p>
    <w:p>
      <w:pPr>
        <w:autoSpaceDE w:val="0"/>
        <w:spacing w:line="560" w:lineRule="exact"/>
        <w:ind w:firstLine="643" w:firstLineChars="200"/>
        <w:rPr>
          <w:rFonts w:ascii="仿宋" w:hAnsi="仿宋" w:eastAsia="仿宋"/>
          <w:sz w:val="32"/>
          <w:szCs w:val="32"/>
        </w:rPr>
      </w:pPr>
      <w:r>
        <w:rPr>
          <w:rFonts w:hint="eastAsia" w:ascii="仿宋" w:hAnsi="仿宋" w:eastAsia="仿宋"/>
          <w:b/>
          <w:sz w:val="32"/>
          <w:szCs w:val="32"/>
        </w:rPr>
        <w:t>（一）加强</w:t>
      </w:r>
      <w:r>
        <w:rPr>
          <w:rFonts w:hint="eastAsia" w:ascii="仿宋" w:hAnsi="仿宋" w:eastAsia="仿宋"/>
          <w:b/>
          <w:bCs/>
          <w:sz w:val="32"/>
          <w:szCs w:val="32"/>
        </w:rPr>
        <w:t>重视力度，强化心理健康教育宣传。</w:t>
      </w:r>
      <w:r>
        <w:rPr>
          <w:rFonts w:hint="eastAsia" w:ascii="仿宋" w:hAnsi="仿宋" w:eastAsia="仿宋"/>
          <w:bCs/>
          <w:sz w:val="32"/>
          <w:szCs w:val="32"/>
        </w:rPr>
        <w:t>心理健康教育需要</w:t>
      </w:r>
      <w:r>
        <w:rPr>
          <w:rFonts w:hint="eastAsia" w:ascii="仿宋" w:hAnsi="仿宋" w:eastAsia="仿宋"/>
          <w:sz w:val="32"/>
          <w:szCs w:val="32"/>
        </w:rPr>
        <w:t>政府、社会、家庭"三位一体"共同关注，共建健康社区、健康学校、健康家庭，培养积极向上的健康心态，共同营造一个全社会、各行各业共同关心青少年身心健康发展的良好社会环境。父母要增强心理健康知识的学习，懂得正确教育孩子的方法，营造和谐温馨的家庭氛围。部门要协同治理，加强对校园周边环境的治理力度，加强青少年心理健康教育知识的宣传，培养学生积极乐观、健康向上的心理品质。</w:t>
      </w:r>
    </w:p>
    <w:p>
      <w:pPr>
        <w:autoSpaceDE w:val="0"/>
        <w:spacing w:line="560" w:lineRule="exact"/>
        <w:rPr>
          <w:rFonts w:ascii="仿宋" w:hAnsi="仿宋" w:eastAsia="仿宋"/>
          <w:sz w:val="32"/>
          <w:szCs w:val="32"/>
        </w:rPr>
      </w:pPr>
      <w:r>
        <w:rPr>
          <w:rFonts w:hint="eastAsia" w:ascii="仿宋" w:hAnsi="仿宋" w:eastAsia="仿宋"/>
          <w:b/>
          <w:sz w:val="32"/>
          <w:szCs w:val="32"/>
        </w:rPr>
        <w:t>（二）加强</w:t>
      </w:r>
      <w:r>
        <w:rPr>
          <w:rFonts w:hint="eastAsia" w:ascii="仿宋" w:hAnsi="仿宋" w:eastAsia="仿宋"/>
          <w:b/>
          <w:bCs/>
          <w:sz w:val="32"/>
          <w:szCs w:val="32"/>
        </w:rPr>
        <w:t>队伍建设，强化健康教育教师培训。</w:t>
      </w:r>
      <w:r>
        <w:rPr>
          <w:rFonts w:hint="eastAsia" w:ascii="仿宋" w:hAnsi="仿宋" w:eastAsia="仿宋"/>
          <w:sz w:val="32"/>
          <w:szCs w:val="32"/>
        </w:rPr>
        <w:t>县市每所中小学至少配备1名专兼职心理辅导教师，切实开展学校心理健康教育工作。在心理健康教师紧缺的情况下，采用购买社会服务方式开展心理健康辅导。在教师各类培训中将心理健康教育作为必修内容予以重点安排，建立以专职心理健康教育教师为核心，以班主任和兼职教师为骨干，全体教职员工共同参与的心理健康教育工作机制。</w:t>
      </w:r>
    </w:p>
    <w:p>
      <w:pPr>
        <w:autoSpaceDE w:val="0"/>
        <w:spacing w:line="560" w:lineRule="exact"/>
        <w:rPr>
          <w:rFonts w:ascii="仿宋" w:hAnsi="仿宋" w:eastAsia="仿宋"/>
          <w:sz w:val="32"/>
          <w:szCs w:val="32"/>
        </w:rPr>
      </w:pPr>
      <w:r>
        <w:rPr>
          <w:rFonts w:hint="eastAsia" w:ascii="仿宋" w:hAnsi="仿宋" w:eastAsia="仿宋"/>
          <w:b/>
          <w:sz w:val="32"/>
          <w:szCs w:val="32"/>
        </w:rPr>
        <w:t>（三）加强</w:t>
      </w:r>
      <w:r>
        <w:rPr>
          <w:rFonts w:hint="eastAsia" w:ascii="仿宋" w:hAnsi="仿宋" w:eastAsia="仿宋"/>
          <w:b/>
          <w:bCs/>
          <w:sz w:val="32"/>
          <w:szCs w:val="32"/>
        </w:rPr>
        <w:t>设施建设，强化心理辅导活动开展。</w:t>
      </w:r>
      <w:r>
        <w:rPr>
          <w:rFonts w:hint="eastAsia" w:ascii="仿宋" w:hAnsi="仿宋" w:eastAsia="仿宋"/>
          <w:sz w:val="32"/>
          <w:szCs w:val="32"/>
        </w:rPr>
        <w:t>采取有力措施，保证心理健康教育课程正常开设，帮助学生掌握心理健康知识和技能，树立自助互助求助意识，学会理性面对挫折和困难。建立学生“一生一策”的心理健康档案，每年至少开展2次学生心理健康普测工作，定期评估学生心理健康状态，及早分类疏导各种压力，促进学生身心可持续发展。</w:t>
      </w:r>
    </w:p>
    <w:p>
      <w:pPr>
        <w:autoSpaceDE w:val="0"/>
        <w:spacing w:line="560" w:lineRule="exact"/>
        <w:ind w:left="-13"/>
        <w:rPr>
          <w:rFonts w:ascii="仿宋" w:hAnsi="仿宋" w:eastAsia="仿宋"/>
          <w:sz w:val="32"/>
          <w:szCs w:val="32"/>
        </w:rPr>
      </w:pPr>
      <w:r>
        <w:rPr>
          <w:rFonts w:hint="eastAsia" w:ascii="仿宋" w:hAnsi="仿宋" w:eastAsia="仿宋"/>
          <w:b/>
          <w:bCs/>
          <w:sz w:val="32"/>
          <w:szCs w:val="32"/>
        </w:rPr>
        <w:t xml:space="preserve">   （四）加强平台建设，强化教育教学经验交流。</w:t>
      </w:r>
      <w:r>
        <w:rPr>
          <w:rFonts w:hint="eastAsia" w:ascii="仿宋" w:hAnsi="仿宋" w:eastAsia="仿宋"/>
          <w:sz w:val="32"/>
          <w:szCs w:val="32"/>
        </w:rPr>
        <w:t>教育部门要积极推广岑巩和麻江等县心理健康教育教学工作的良好模式，推动各校把心理健康教育工作做到有目标、有方案、有机制，有措施，有效地保障学生身心健康成长。</w:t>
      </w:r>
    </w:p>
    <w:p>
      <w:pPr>
        <w:autoSpaceDE w:val="0"/>
        <w:spacing w:line="560" w:lineRule="exact"/>
        <w:ind w:firstLine="640" w:firstLineChars="200"/>
        <w:jc w:val="left"/>
        <w:rPr>
          <w:rFonts w:ascii="仿宋" w:hAnsi="仿宋" w:eastAsia="仿宋"/>
          <w:sz w:val="32"/>
          <w:szCs w:val="32"/>
        </w:rPr>
      </w:pPr>
    </w:p>
    <w:p>
      <w:pPr>
        <w:autoSpaceDE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附注1：（中国科学院心理研究所发布2020版“心理健康蓝皮书”-《中国国民心理健康发展报告2019-2020》）青少年的抑郁检出率为24.6%，（轻度抑郁17.2%，重度抑郁症的比例为7.4%）。</w:t>
      </w:r>
    </w:p>
    <w:p>
      <w:pPr>
        <w:autoSpaceDE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附注2：调研测试量表为：中小学心理健康诊断测验（MHT），9条目病人健康问卷（PHQ-9），焦虑自评量表（SAS），症状自评量表（SCL-90)）</w:t>
      </w:r>
    </w:p>
    <w:p>
      <w:pPr>
        <w:autoSpaceDE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附注3：岑巩县</w:t>
      </w:r>
      <w:r>
        <w:rPr>
          <w:rFonts w:hint="eastAsia" w:ascii="仿宋" w:hAnsi="仿宋" w:eastAsia="仿宋"/>
          <w:b/>
          <w:bCs/>
          <w:sz w:val="32"/>
          <w:szCs w:val="32"/>
        </w:rPr>
        <w:t>“456”</w:t>
      </w:r>
      <w:r>
        <w:rPr>
          <w:rFonts w:hint="eastAsia" w:ascii="仿宋" w:hAnsi="仿宋" w:eastAsia="仿宋"/>
          <w:sz w:val="32"/>
          <w:szCs w:val="32"/>
        </w:rPr>
        <w:t>模式：</w:t>
      </w:r>
    </w:p>
    <w:p>
      <w:pPr>
        <w:autoSpaceDE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“4个統一”（統一目标引领，制订一个方案，选准一套教材，统一课程设置。）</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“5个到位”（思想认识到位，硬件建设到位，教师培训到位，兼职教师“持证”到位，督查考核到位。）</w:t>
      </w:r>
    </w:p>
    <w:p>
      <w:r>
        <w:rPr>
          <w:rFonts w:hint="eastAsia" w:ascii="仿宋" w:hAnsi="仿宋" w:eastAsia="仿宋"/>
          <w:sz w:val="32"/>
          <w:szCs w:val="32"/>
        </w:rPr>
        <w:t>“6个结合”（坚持心理健康教育与德育工作相结合，</w:t>
      </w: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333333"/>
          <w:sz w:val="32"/>
          <w:szCs w:val="32"/>
          <w:shd w:val="clear" w:color="auto" w:fill="FFFFFF"/>
        </w:rPr>
      </w:pPr>
    </w:p>
    <w:p>
      <w:pPr>
        <w:spacing w:line="560" w:lineRule="exact"/>
        <w:ind w:firstLine="643" w:firstLineChars="200"/>
        <w:rPr>
          <w:rStyle w:val="10"/>
          <w:rFonts w:ascii="仿宋" w:hAnsi="仿宋" w:eastAsia="仿宋" w:cs="仿宋"/>
          <w:kern w:val="0"/>
          <w:sz w:val="32"/>
          <w:szCs w:val="32"/>
        </w:rPr>
      </w:pPr>
      <w:r>
        <w:rPr>
          <w:rStyle w:val="10"/>
          <w:rFonts w:hint="eastAsia" w:ascii="黑体" w:hAnsi="黑体" w:eastAsia="黑体" w:cs="黑体"/>
          <w:b/>
          <w:bCs/>
          <w:kern w:val="0"/>
          <w:sz w:val="32"/>
          <w:szCs w:val="32"/>
        </w:rPr>
        <w:t>注：</w:t>
      </w:r>
      <w:r>
        <w:rPr>
          <w:rStyle w:val="10"/>
          <w:rFonts w:hint="eastAsia" w:ascii="仿宋" w:hAnsi="仿宋" w:eastAsia="仿宋" w:cs="仿宋"/>
          <w:kern w:val="0"/>
          <w:sz w:val="32"/>
          <w:szCs w:val="32"/>
        </w:rPr>
        <w:t>1、提案会办单位需将会办意见送主办单位，由主办单位连同《提案答复件》、《征询意见表》一并抄送州政协；（涉及目标考核）</w:t>
      </w:r>
    </w:p>
    <w:p>
      <w:pPr>
        <w:spacing w:line="560" w:lineRule="exact"/>
        <w:ind w:firstLine="1280" w:firstLineChars="400"/>
        <w:rPr>
          <w:rStyle w:val="10"/>
          <w:rFonts w:ascii="仿宋" w:hAnsi="仿宋" w:eastAsia="仿宋" w:cs="仿宋"/>
          <w:kern w:val="0"/>
          <w:sz w:val="32"/>
          <w:szCs w:val="32"/>
        </w:rPr>
      </w:pPr>
      <w:r>
        <w:rPr>
          <w:rStyle w:val="10"/>
          <w:rFonts w:hint="eastAsia" w:ascii="仿宋" w:hAnsi="仿宋" w:eastAsia="仿宋" w:cs="仿宋"/>
          <w:kern w:val="0"/>
          <w:sz w:val="32"/>
          <w:szCs w:val="32"/>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FB6911"/>
    <w:rsid w:val="00062089"/>
    <w:rsid w:val="002366C1"/>
    <w:rsid w:val="002519FF"/>
    <w:rsid w:val="002F6404"/>
    <w:rsid w:val="00372D70"/>
    <w:rsid w:val="0048310A"/>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50417D0"/>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uiPriority w:val="0"/>
    <w:rPr>
      <w:sz w:val="18"/>
      <w:szCs w:val="18"/>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character" w:customStyle="1" w:styleId="21">
    <w:name w:val="批注框文本 Char"/>
    <w:basedOn w:val="7"/>
    <w:link w:val="2"/>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366</Words>
  <Characters>2087</Characters>
  <Lines>17</Lines>
  <Paragraphs>4</Paragraphs>
  <TotalTime>1</TotalTime>
  <ScaleCrop>false</ScaleCrop>
  <LinksUpToDate>false</LinksUpToDate>
  <CharactersWithSpaces>2449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2022-01-06T08:37:00Z</dcterms:created>
  <dc:creator>Administrator</dc:creator>
  <cp:lastModifiedBy>丘丘</cp:lastModifiedBy>
  <cp:lastPrinted>2021-02-26T02:55:00Z</cp:lastPrinted>
  <dcterms:modified xsi:type="dcterms:W3CDTF">2022-01-08T09:26:07Z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