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before="0" w:beforeAutospacing="0" w:after="0" w:afterAutospacing="0" w:line="600" w:lineRule="exact"/>
        <w:jc w:val="center"/>
        <w:rPr>
          <w:rStyle w:val="17"/>
          <w:rFonts w:ascii="黑体" w:eastAsia="黑体"/>
          <w:sz w:val="44"/>
          <w:szCs w:val="44"/>
        </w:rPr>
      </w:pPr>
      <w:r>
        <w:rPr>
          <w:rStyle w:val="15"/>
          <w:rFonts w:ascii="黑体" w:eastAsia="黑体" w:cs="宋体"/>
          <w:sz w:val="44"/>
          <w:szCs w:val="44"/>
        </w:rPr>
        <w:t>中国人民政治协商会议</w:t>
      </w:r>
    </w:p>
    <w:p>
      <w:pPr>
        <w:pStyle w:val="21"/>
        <w:spacing w:before="0" w:beforeAutospacing="0" w:after="0" w:afterAutospacing="0" w:line="600" w:lineRule="exact"/>
        <w:jc w:val="center"/>
        <w:rPr>
          <w:rStyle w:val="17"/>
          <w:rFonts w:hint="eastAsia"/>
          <w:sz w:val="44"/>
          <w:szCs w:val="44"/>
        </w:rPr>
      </w:pPr>
      <w:r>
        <w:rPr>
          <w:rStyle w:val="17"/>
          <w:sz w:val="44"/>
          <w:szCs w:val="44"/>
        </w:rPr>
        <w:t>黔东南苗族侗族自治州委员会</w:t>
      </w:r>
    </w:p>
    <w:p>
      <w:pPr>
        <w:pStyle w:val="21"/>
        <w:spacing w:before="0" w:beforeAutospacing="0" w:after="0" w:afterAutospacing="0" w:line="600" w:lineRule="exact"/>
        <w:jc w:val="center"/>
        <w:rPr>
          <w:rStyle w:val="17"/>
          <w:rFonts w:hint="eastAsia"/>
          <w:sz w:val="44"/>
          <w:szCs w:val="44"/>
        </w:rPr>
      </w:pPr>
      <w:r>
        <w:rPr>
          <w:rStyle w:val="17"/>
          <w:sz w:val="44"/>
          <w:szCs w:val="44"/>
        </w:rPr>
        <w:t>提</w:t>
      </w:r>
      <w:r>
        <w:rPr>
          <w:rStyle w:val="17"/>
          <w:rFonts w:hint="eastAsia"/>
          <w:sz w:val="44"/>
          <w:szCs w:val="44"/>
        </w:rPr>
        <w:t xml:space="preserve">   </w:t>
      </w:r>
      <w:r>
        <w:rPr>
          <w:rStyle w:val="17"/>
          <w:sz w:val="44"/>
          <w:szCs w:val="44"/>
        </w:rPr>
        <w:t>案</w:t>
      </w:r>
    </w:p>
    <w:p>
      <w:pPr>
        <w:spacing w:line="320" w:lineRule="exact"/>
        <w:jc w:val="center"/>
        <w:textAlignment w:val="top"/>
        <w:rPr>
          <w:rStyle w:val="17"/>
          <w:rFonts w:hint="eastAsia" w:ascii="宋体" w:hAnsi="宋体"/>
          <w:kern w:val="0"/>
          <w:sz w:val="24"/>
        </w:rPr>
      </w:pPr>
    </w:p>
    <w:p>
      <w:pPr>
        <w:spacing w:line="320" w:lineRule="exact"/>
        <w:jc w:val="center"/>
        <w:textAlignment w:val="top"/>
        <w:rPr>
          <w:rStyle w:val="17"/>
          <w:rFonts w:hint="eastAsia" w:ascii="宋体" w:hAnsi="宋体"/>
          <w:kern w:val="0"/>
          <w:sz w:val="24"/>
        </w:rPr>
      </w:pPr>
    </w:p>
    <w:p>
      <w:pPr>
        <w:spacing w:line="760" w:lineRule="exact"/>
        <w:jc w:val="both"/>
        <w:textAlignment w:val="top"/>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7"/>
          <w:rFonts w:hint="default" w:ascii="宋体" w:hAnsi="宋体" w:eastAsia="宋体"/>
          <w:kern w:val="0"/>
          <w:sz w:val="24"/>
          <w:lang w:val="en-US" w:eastAsia="zh-CN"/>
        </w:rPr>
      </w:pPr>
      <w:r>
        <w:rPr>
          <w:rStyle w:val="17"/>
          <w:rFonts w:ascii="宋体" w:hAnsi="宋体"/>
          <w:kern w:val="0"/>
          <w:sz w:val="24"/>
        </w:rPr>
        <w:t>第十</w:t>
      </w:r>
      <w:r>
        <w:rPr>
          <w:rStyle w:val="17"/>
          <w:rFonts w:hint="eastAsia" w:ascii="宋体" w:hAnsi="宋体"/>
          <w:kern w:val="0"/>
          <w:sz w:val="24"/>
          <w:lang w:val="en-US" w:eastAsia="zh-CN"/>
        </w:rPr>
        <w:t>三</w:t>
      </w:r>
      <w:r>
        <w:rPr>
          <w:rStyle w:val="17"/>
          <w:rFonts w:ascii="宋体" w:hAnsi="宋体"/>
          <w:kern w:val="0"/>
          <w:sz w:val="24"/>
        </w:rPr>
        <w:t>届第</w:t>
      </w:r>
      <w:r>
        <w:rPr>
          <w:rStyle w:val="17"/>
          <w:rFonts w:hint="eastAsia" w:ascii="宋体" w:hAnsi="宋体"/>
          <w:kern w:val="0"/>
          <w:sz w:val="24"/>
          <w:lang w:val="en-US" w:eastAsia="zh-CN"/>
        </w:rPr>
        <w:t>一</w:t>
      </w:r>
      <w:r>
        <w:rPr>
          <w:rStyle w:val="17"/>
          <w:rFonts w:ascii="宋体" w:hAnsi="宋体"/>
          <w:kern w:val="0"/>
          <w:sz w:val="24"/>
        </w:rPr>
        <w:t>次会议　       　第</w:t>
      </w:r>
      <w:r>
        <w:rPr>
          <w:rStyle w:val="17"/>
          <w:rFonts w:hint="eastAsia" w:ascii="宋体" w:hAnsi="宋体"/>
          <w:kern w:val="0"/>
          <w:sz w:val="24"/>
          <w:lang w:val="en-US" w:eastAsia="zh-CN"/>
        </w:rPr>
        <w:t>013</w:t>
      </w:r>
      <w:r>
        <w:rPr>
          <w:rStyle w:val="17"/>
          <w:rFonts w:ascii="宋体" w:hAnsi="宋体"/>
          <w:kern w:val="0"/>
          <w:sz w:val="24"/>
        </w:rPr>
        <w:t xml:space="preserve">号　    </w:t>
      </w:r>
      <w:r>
        <w:rPr>
          <w:rStyle w:val="17"/>
          <w:rFonts w:hint="eastAsia" w:ascii="宋体" w:hAnsi="宋体"/>
          <w:kern w:val="0"/>
          <w:sz w:val="24"/>
        </w:rPr>
        <w:t xml:space="preserve">    </w:t>
      </w:r>
      <w:r>
        <w:rPr>
          <w:rStyle w:val="17"/>
          <w:rFonts w:hint="eastAsia" w:ascii="宋体" w:hAnsi="宋体"/>
          <w:kern w:val="0"/>
          <w:sz w:val="24"/>
          <w:lang w:val="en-US" w:eastAsia="zh-CN"/>
        </w:rPr>
        <w:t xml:space="preserve"> 类别：经济建设类     </w:t>
      </w:r>
    </w:p>
    <w:p>
      <w:pPr>
        <w:spacing w:line="320" w:lineRule="exact"/>
        <w:jc w:val="left"/>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3"/>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7"/>
                <w:rFonts w:ascii="宋体" w:hAnsi="宋体"/>
                <w:kern w:val="0"/>
                <w:sz w:val="24"/>
              </w:rPr>
            </w:pPr>
            <w:r>
              <w:rPr>
                <w:rStyle w:val="17"/>
                <w:rFonts w:ascii="黑体" w:hAnsi="宋体" w:eastAsia="黑体" w:cs="宋体"/>
                <w:b/>
                <w:bCs/>
                <w:kern w:val="0"/>
                <w:sz w:val="24"/>
              </w:rPr>
              <w:t>案</w:t>
            </w:r>
            <w:r>
              <w:rPr>
                <w:rStyle w:val="17"/>
                <w:rFonts w:ascii="宋体" w:hAnsi="宋体" w:eastAsia="黑体" w:cs="宋体"/>
                <w:b/>
                <w:bCs/>
                <w:kern w:val="0"/>
                <w:sz w:val="24"/>
              </w:rPr>
              <w:t>  </w:t>
            </w:r>
            <w:r>
              <w:rPr>
                <w:rStyle w:val="17"/>
                <w:rFonts w:ascii="黑体" w:hAnsi="宋体" w:eastAsia="黑体" w:cs="宋体"/>
                <w:b/>
                <w:bCs/>
                <w:kern w:val="0"/>
                <w:sz w:val="24"/>
              </w:rPr>
              <w:t>由</w:t>
            </w:r>
            <w:r>
              <w:rPr>
                <w:rStyle w:val="17"/>
                <w:rFonts w:ascii="宋体" w:hAnsi="宋体" w:cs="宋体"/>
                <w:b/>
                <w:bCs/>
                <w:kern w:val="0"/>
                <w:sz w:val="24"/>
              </w:rPr>
              <w:t>：</w:t>
            </w:r>
          </w:p>
        </w:tc>
        <w:tc>
          <w:tcPr>
            <w:tcW w:w="6797" w:type="dxa"/>
            <w:gridSpan w:val="3"/>
            <w:vAlign w:val="center"/>
          </w:tcPr>
          <w:p>
            <w:pPr>
              <w:jc w:val="left"/>
              <w:rPr>
                <w:rStyle w:val="17"/>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关于推动我州林下经济</w:t>
            </w:r>
            <w:bookmarkStart w:id="0" w:name="_GoBack"/>
            <w:bookmarkEnd w:id="0"/>
            <w:r>
              <w:rPr>
                <w:rFonts w:hint="eastAsia" w:ascii="Times New Roman" w:hAnsi="Times New Roman" w:eastAsia="宋体" w:cs="Times New Roman"/>
                <w:b/>
                <w:bCs/>
                <w:kern w:val="0"/>
                <w:sz w:val="22"/>
                <w:szCs w:val="22"/>
                <w:lang w:val="en-US" w:eastAsia="zh-CN"/>
              </w:rPr>
              <w:t>高质量发展的建议</w:t>
            </w:r>
          </w:p>
        </w:tc>
      </w:tr>
      <w:tr>
        <w:tblPrEx>
          <w:tblCellMar>
            <w:top w:w="0" w:type="dxa"/>
            <w:left w:w="15" w:type="dxa"/>
            <w:bottom w:w="0" w:type="dxa"/>
            <w:right w:w="15" w:type="dxa"/>
          </w:tblCellMar>
        </w:tblPrEx>
        <w:tc>
          <w:tcPr>
            <w:tcW w:w="1753" w:type="dxa"/>
            <w:vAlign w:val="center"/>
          </w:tcPr>
          <w:p>
            <w:pPr>
              <w:jc w:val="left"/>
              <w:rPr>
                <w:rStyle w:val="17"/>
                <w:rFonts w:ascii="宋体" w:hAnsi="宋体"/>
                <w:kern w:val="0"/>
                <w:sz w:val="24"/>
              </w:rPr>
            </w:pPr>
            <w:r>
              <w:rPr>
                <w:rStyle w:val="17"/>
                <w:rFonts w:ascii="黑体" w:hAnsi="宋体" w:eastAsia="黑体" w:cs="宋体"/>
                <w:b/>
                <w:bCs/>
                <w:kern w:val="0"/>
                <w:sz w:val="24"/>
              </w:rPr>
              <w:t>审查意见</w:t>
            </w:r>
            <w:r>
              <w:rPr>
                <w:rStyle w:val="17"/>
                <w:rFonts w:ascii="宋体" w:hAnsi="宋体" w:cs="宋体"/>
                <w:b/>
                <w:bCs/>
                <w:kern w:val="0"/>
                <w:sz w:val="24"/>
              </w:rPr>
              <w:t>：</w:t>
            </w:r>
          </w:p>
        </w:tc>
        <w:tc>
          <w:tcPr>
            <w:tcW w:w="6797" w:type="dxa"/>
            <w:gridSpan w:val="3"/>
            <w:vAlign w:val="center"/>
          </w:tcPr>
          <w:p>
            <w:pPr>
              <w:jc w:val="left"/>
              <w:rPr>
                <w:rStyle w:val="17"/>
                <w:rFonts w:hint="default" w:ascii="宋体" w:hAnsi="宋体"/>
                <w:kern w:val="0"/>
                <w:sz w:val="24"/>
                <w:lang w:val="en-US" w:eastAsia="zh-CN"/>
              </w:rPr>
            </w:pPr>
            <w:r>
              <w:rPr>
                <w:rStyle w:val="17"/>
                <w:rFonts w:hint="eastAsia" w:ascii="宋体" w:hAnsi="宋体"/>
                <w:kern w:val="0"/>
                <w:sz w:val="24"/>
                <w:szCs w:val="24"/>
                <w:lang w:eastAsia="zh-CN"/>
              </w:rPr>
              <w:t>主办：州林业局</w:t>
            </w:r>
            <w:r>
              <w:rPr>
                <w:rStyle w:val="17"/>
                <w:rFonts w:hint="eastAsia" w:ascii="宋体" w:hAnsi="宋体"/>
                <w:kern w:val="0"/>
                <w:sz w:val="24"/>
                <w:szCs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7"/>
                <w:rFonts w:ascii="黑体" w:hAnsi="宋体" w:eastAsia="黑体"/>
                <w:kern w:val="0"/>
                <w:sz w:val="24"/>
              </w:rPr>
            </w:pPr>
            <w:r>
              <w:rPr>
                <w:rStyle w:val="17"/>
                <w:rFonts w:ascii="黑体" w:hAnsi="宋体" w:eastAsia="黑体" w:cs="宋体"/>
                <w:b/>
                <w:bCs/>
                <w:kern w:val="0"/>
                <w:sz w:val="24"/>
              </w:rPr>
              <w:t>提</w:t>
            </w:r>
            <w:r>
              <w:rPr>
                <w:rStyle w:val="17"/>
                <w:rFonts w:hint="eastAsia" w:ascii="黑体" w:hAnsi="宋体" w:eastAsia="黑体" w:cs="宋体"/>
                <w:b/>
                <w:bCs/>
                <w:kern w:val="0"/>
                <w:sz w:val="24"/>
                <w:lang w:val="en-US" w:eastAsia="zh-CN"/>
              </w:rPr>
              <w:t xml:space="preserve"> </w:t>
            </w:r>
            <w:r>
              <w:rPr>
                <w:rStyle w:val="17"/>
                <w:rFonts w:ascii="黑体" w:hAnsi="宋体" w:eastAsia="黑体" w:cs="宋体"/>
                <w:b/>
                <w:bCs/>
                <w:kern w:val="0"/>
                <w:sz w:val="24"/>
              </w:rPr>
              <w:t>案</w:t>
            </w:r>
            <w:r>
              <w:rPr>
                <w:rStyle w:val="17"/>
                <w:rFonts w:hint="eastAsia" w:ascii="黑体" w:hAnsi="宋体" w:eastAsia="黑体" w:cs="宋体"/>
                <w:b/>
                <w:bCs/>
                <w:kern w:val="0"/>
                <w:sz w:val="24"/>
                <w:lang w:val="en-US" w:eastAsia="zh-CN"/>
              </w:rPr>
              <w:t xml:space="preserve"> </w:t>
            </w:r>
            <w:r>
              <w:rPr>
                <w:rStyle w:val="17"/>
                <w:rFonts w:ascii="黑体" w:hAnsi="宋体" w:eastAsia="黑体" w:cs="宋体"/>
                <w:b/>
                <w:bCs/>
                <w:kern w:val="0"/>
                <w:sz w:val="24"/>
              </w:rPr>
              <w:t>人</w:t>
            </w:r>
            <w:r>
              <w:rPr>
                <w:rStyle w:val="17"/>
                <w:rFonts w:ascii="宋体" w:hAnsi="宋体" w:eastAsia="黑体" w:cs="宋体"/>
                <w:b/>
                <w:bCs/>
                <w:kern w:val="0"/>
                <w:sz w:val="24"/>
              </w:rPr>
              <w:t>：</w:t>
            </w:r>
          </w:p>
        </w:tc>
        <w:tc>
          <w:tcPr>
            <w:tcW w:w="3872" w:type="dxa"/>
            <w:vAlign w:val="center"/>
          </w:tcPr>
          <w:p>
            <w:pPr>
              <w:jc w:val="left"/>
              <w:rPr>
                <w:rStyle w:val="17"/>
                <w:rFonts w:ascii="宋体" w:hAnsi="宋体"/>
                <w:kern w:val="0"/>
                <w:sz w:val="24"/>
              </w:rPr>
            </w:pPr>
            <w:r>
              <w:rPr>
                <w:rStyle w:val="17"/>
                <w:rFonts w:ascii="宋体" w:hAnsi="宋体" w:cs="宋体"/>
                <w:b/>
                <w:bCs/>
                <w:kern w:val="0"/>
                <w:sz w:val="24"/>
              </w:rPr>
              <w:t>通讯地址</w:t>
            </w:r>
          </w:p>
        </w:tc>
        <w:tc>
          <w:tcPr>
            <w:tcW w:w="1440" w:type="dxa"/>
            <w:vAlign w:val="center"/>
          </w:tcPr>
          <w:p>
            <w:pPr>
              <w:jc w:val="left"/>
              <w:rPr>
                <w:rStyle w:val="17"/>
                <w:rFonts w:ascii="宋体" w:hAnsi="宋体"/>
                <w:kern w:val="0"/>
                <w:sz w:val="24"/>
              </w:rPr>
            </w:pPr>
            <w:r>
              <w:rPr>
                <w:rStyle w:val="17"/>
                <w:rFonts w:ascii="宋体" w:hAnsi="宋体" w:cs="宋体"/>
                <w:b/>
                <w:bCs/>
                <w:kern w:val="0"/>
                <w:sz w:val="24"/>
              </w:rPr>
              <w:t>邮政编码</w:t>
            </w:r>
          </w:p>
        </w:tc>
        <w:tc>
          <w:tcPr>
            <w:tcW w:w="1485" w:type="dxa"/>
            <w:vAlign w:val="center"/>
          </w:tcPr>
          <w:p>
            <w:pPr>
              <w:jc w:val="left"/>
              <w:rPr>
                <w:rStyle w:val="17"/>
                <w:rFonts w:ascii="宋体" w:hAnsi="宋体"/>
                <w:kern w:val="0"/>
                <w:sz w:val="24"/>
              </w:rPr>
            </w:pPr>
            <w:r>
              <w:rPr>
                <w:rStyle w:val="17"/>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7"/>
                <w:rFonts w:hint="eastAsia" w:ascii="宋体" w:hAnsi="宋体" w:eastAsia="宋体"/>
                <w:kern w:val="0"/>
                <w:sz w:val="24"/>
                <w:lang w:eastAsia="zh-CN"/>
              </w:rPr>
            </w:pPr>
            <w:r>
              <w:rPr>
                <w:rStyle w:val="17"/>
                <w:rFonts w:hint="eastAsia" w:ascii="宋体" w:hAnsi="宋体"/>
                <w:kern w:val="0"/>
                <w:sz w:val="21"/>
                <w:szCs w:val="21"/>
                <w:lang w:eastAsia="zh-CN"/>
              </w:rPr>
              <w:t>农工党黔东南州工委</w:t>
            </w:r>
          </w:p>
        </w:tc>
        <w:tc>
          <w:tcPr>
            <w:tcW w:w="3872" w:type="dxa"/>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4"/>
                <w:lang w:val="en-US" w:eastAsia="zh-CN"/>
              </w:rPr>
              <w:t>农工党黔东南州工委</w:t>
            </w:r>
          </w:p>
        </w:tc>
        <w:tc>
          <w:tcPr>
            <w:tcW w:w="1440" w:type="dxa"/>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4"/>
              </w:rPr>
              <w:t>55</w:t>
            </w:r>
            <w:r>
              <w:rPr>
                <w:rStyle w:val="17"/>
                <w:rFonts w:hint="eastAsia" w:ascii="宋体" w:hAnsi="宋体"/>
                <w:kern w:val="0"/>
                <w:sz w:val="24"/>
                <w:lang w:val="en-US" w:eastAsia="zh-CN"/>
              </w:rPr>
              <w:t>6000</w:t>
            </w:r>
          </w:p>
        </w:tc>
        <w:tc>
          <w:tcPr>
            <w:tcW w:w="1485" w:type="dxa"/>
            <w:vAlign w:val="center"/>
          </w:tcPr>
          <w:p>
            <w:pPr>
              <w:jc w:val="left"/>
              <w:rPr>
                <w:rStyle w:val="17"/>
                <w:rFonts w:hint="default" w:ascii="宋体" w:hAnsi="宋体" w:eastAsia="宋体"/>
                <w:kern w:val="0"/>
                <w:sz w:val="24"/>
                <w:lang w:val="en-US" w:eastAsia="zh-CN"/>
              </w:rPr>
            </w:pPr>
            <w:r>
              <w:rPr>
                <w:rStyle w:val="17"/>
                <w:rFonts w:hint="eastAsia" w:ascii="宋体" w:hAnsi="宋体"/>
                <w:kern w:val="0"/>
                <w:sz w:val="24"/>
                <w:lang w:val="en-US" w:eastAsia="zh-CN"/>
              </w:rPr>
              <w:t>13765529333</w:t>
            </w:r>
          </w:p>
        </w:tc>
      </w:tr>
      <w:tr>
        <w:tblPrEx>
          <w:tblCellMar>
            <w:top w:w="0" w:type="dxa"/>
            <w:left w:w="15" w:type="dxa"/>
            <w:bottom w:w="0" w:type="dxa"/>
            <w:right w:w="15" w:type="dxa"/>
          </w:tblCellMar>
        </w:tblPrEx>
        <w:tc>
          <w:tcPr>
            <w:tcW w:w="1753" w:type="dxa"/>
            <w:vAlign w:val="center"/>
          </w:tcPr>
          <w:p>
            <w:pPr>
              <w:jc w:val="left"/>
              <w:rPr>
                <w:rStyle w:val="17"/>
                <w:rFonts w:hint="eastAsia" w:ascii="宋体" w:hAnsi="宋体" w:eastAsia="宋体"/>
                <w:kern w:val="0"/>
                <w:sz w:val="24"/>
                <w:lang w:eastAsia="zh-CN"/>
              </w:rPr>
            </w:pPr>
            <w:r>
              <w:rPr>
                <w:rStyle w:val="17"/>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7"/>
                <w:rFonts w:hint="eastAsia" w:ascii="宋体" w:hAnsi="宋体"/>
                <w:kern w:val="0"/>
                <w:sz w:val="24"/>
                <w:lang w:val="en-US" w:eastAsia="zh-CN"/>
              </w:rPr>
            </w:pPr>
            <w:r>
              <w:rPr>
                <w:rStyle w:val="17"/>
                <w:rFonts w:hint="eastAsia" w:ascii="宋体" w:hAnsi="宋体"/>
                <w:kern w:val="0"/>
                <w:sz w:val="24"/>
                <w:lang w:eastAsia="zh-CN"/>
              </w:rPr>
              <w:t>州委办秘书五科：</w:t>
            </w:r>
            <w:r>
              <w:rPr>
                <w:rStyle w:val="17"/>
                <w:rFonts w:hint="eastAsia" w:ascii="宋体" w:hAnsi="宋体"/>
                <w:kern w:val="0"/>
                <w:sz w:val="24"/>
                <w:lang w:val="en-US" w:eastAsia="zh-CN"/>
              </w:rPr>
              <w:t>8270060；</w:t>
            </w:r>
            <w:r>
              <w:rPr>
                <w:rStyle w:val="17"/>
                <w:rFonts w:hint="eastAsia" w:ascii="宋体" w:hAnsi="宋体"/>
                <w:kern w:val="0"/>
                <w:sz w:val="24"/>
                <w:lang w:eastAsia="zh-CN"/>
              </w:rPr>
              <w:t>州政府办建议提案科：</w:t>
            </w:r>
            <w:r>
              <w:rPr>
                <w:rStyle w:val="17"/>
                <w:rFonts w:hint="eastAsia" w:ascii="宋体" w:hAnsi="宋体"/>
                <w:kern w:val="0"/>
                <w:sz w:val="24"/>
                <w:lang w:val="en-US" w:eastAsia="zh-CN"/>
              </w:rPr>
              <w:t>8260016；</w:t>
            </w:r>
          </w:p>
          <w:p>
            <w:pPr>
              <w:jc w:val="left"/>
              <w:rPr>
                <w:rStyle w:val="17"/>
                <w:rFonts w:hint="default" w:ascii="宋体" w:hAnsi="宋体"/>
                <w:kern w:val="0"/>
                <w:sz w:val="24"/>
                <w:lang w:val="en-US"/>
              </w:rPr>
            </w:pPr>
            <w:r>
              <w:rPr>
                <w:rStyle w:val="17"/>
                <w:rFonts w:hint="eastAsia" w:ascii="宋体" w:hAnsi="宋体"/>
                <w:kern w:val="0"/>
                <w:sz w:val="24"/>
                <w:lang w:eastAsia="zh-CN"/>
              </w:rPr>
              <w:t>州政协提案委：</w:t>
            </w:r>
            <w:r>
              <w:rPr>
                <w:rStyle w:val="17"/>
                <w:rFonts w:hint="eastAsia" w:ascii="宋体" w:hAnsi="宋体"/>
                <w:kern w:val="0"/>
                <w:sz w:val="24"/>
                <w:lang w:val="en-US" w:eastAsia="zh-CN"/>
              </w:rPr>
              <w:t>8428866</w:t>
            </w:r>
            <w:r>
              <w:rPr>
                <w:rStyle w:val="17"/>
                <w:rFonts w:hint="eastAsia" w:ascii="宋体" w:hAnsi="宋体"/>
                <w:kern w:val="0"/>
                <w:sz w:val="24"/>
                <w:lang w:eastAsia="zh-CN"/>
              </w:rPr>
              <w:t>。</w:t>
            </w:r>
          </w:p>
        </w:tc>
      </w:tr>
    </w:tbl>
    <w:p>
      <w:pPr>
        <w:jc w:val="left"/>
        <w:rPr>
          <w:rStyle w:val="17"/>
          <w:rFonts w:ascii="宋体" w:hAnsi="宋体"/>
          <w:kern w:val="0"/>
          <w:sz w:val="24"/>
        </w:rPr>
      </w:pPr>
      <w:r>
        <w:rPr>
          <w:rStyle w:val="17"/>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7"/>
          <w:rFonts w:hint="eastAsia" w:ascii="仿宋_GB2312" w:hAnsi="宋体" w:eastAsia="仿宋_GB2312"/>
          <w:kern w:val="0"/>
          <w:sz w:val="32"/>
          <w:szCs w:val="32"/>
        </w:rPr>
      </w:pPr>
      <w:r>
        <w:rPr>
          <w:rStyle w:val="17"/>
          <w:rFonts w:hint="eastAsia" w:ascii="仿宋_GB2312" w:hAnsi="宋体" w:eastAsia="仿宋_GB2312"/>
          <w:kern w:val="0"/>
          <w:sz w:val="32"/>
          <w:szCs w:val="32"/>
        </w:rPr>
        <w:t>内容和办法</w:t>
      </w:r>
      <w:r>
        <w:rPr>
          <w:rStyle w:val="17"/>
          <w:rFonts w:hint="eastAsia" w:ascii="仿宋_GB2312" w:hAnsi="宋体" w:eastAsia="仿宋_GB2312"/>
          <w:kern w:val="0"/>
          <w:sz w:val="32"/>
          <w:szCs w:val="32"/>
          <w:lang w:eastAsia="zh-CN"/>
        </w:rPr>
        <w:t>：</w:t>
      </w:r>
    </w:p>
    <w:p>
      <w:pPr>
        <w:spacing w:line="560" w:lineRule="exact"/>
        <w:ind w:left="0" w:leftChars="0" w:firstLine="640" w:firstLineChars="200"/>
        <w:rPr>
          <w:rStyle w:val="17"/>
          <w:rFonts w:hint="eastAsia" w:ascii="仿宋_GB2312" w:hAnsi="宋体" w:eastAsia="仿宋_GB2312"/>
          <w:kern w:val="0"/>
          <w:sz w:val="32"/>
          <w:szCs w:val="32"/>
        </w:rPr>
      </w:pPr>
      <w:r>
        <w:rPr>
          <w:rStyle w:val="17"/>
          <w:rFonts w:hint="eastAsia" w:ascii="方正黑体_GBK" w:hAnsi="方正黑体_GBK" w:eastAsia="方正黑体_GBK" w:cs="方正黑体_GBK"/>
          <w:kern w:val="0"/>
          <w:sz w:val="32"/>
          <w:szCs w:val="32"/>
          <w:lang w:eastAsia="zh-CN"/>
        </w:rPr>
        <w:t>一、</w:t>
      </w:r>
      <w:r>
        <w:rPr>
          <w:rStyle w:val="17"/>
          <w:rFonts w:hint="eastAsia" w:ascii="方正黑体_GBK" w:hAnsi="方正黑体_GBK" w:eastAsia="方正黑体_GBK" w:cs="方正黑体_GBK"/>
          <w:kern w:val="0"/>
          <w:sz w:val="32"/>
          <w:szCs w:val="32"/>
        </w:rPr>
        <w:t>全州林下经济发展概况</w:t>
      </w:r>
    </w:p>
    <w:p>
      <w:pPr>
        <w:spacing w:line="560" w:lineRule="exact"/>
        <w:ind w:left="0" w:leftChars="0" w:firstLine="640" w:firstLineChars="200"/>
        <w:rPr>
          <w:rStyle w:val="17"/>
          <w:rFonts w:hint="eastAsia" w:ascii="仿宋_GB2312" w:hAnsi="宋体" w:eastAsia="仿宋_GB2312"/>
          <w:kern w:val="0"/>
          <w:sz w:val="32"/>
          <w:szCs w:val="32"/>
        </w:rPr>
      </w:pPr>
      <w:r>
        <w:rPr>
          <w:rStyle w:val="17"/>
          <w:rFonts w:hint="eastAsia" w:ascii="仿宋_GB2312" w:hAnsi="宋体" w:eastAsia="仿宋_GB2312"/>
          <w:kern w:val="0"/>
          <w:sz w:val="32"/>
          <w:szCs w:val="32"/>
        </w:rPr>
        <w:t>黔东南是贵州省重点林区，也是全国南方重点集体林区之一，全州林业用地面积3269.41万亩，森林面积达3079.37万亩，森林覆盖率为68%，丰富的森林资源为发展林下经济产业提供了得天独厚的条件。目前，全州林下经济利用林地面积达619.35万亩，产值81.28亿元，其中：林下种植利用林地面积100.26万亩，产值12.51亿元；林下养殖利用林地面积82.64万亩，产值13.58亿元；林产品采集加工利用林地面积295.91万亩，产值15.88亿元；森林景观利用林地面积140.54万亩，产值39.31亿元。</w:t>
      </w:r>
    </w:p>
    <w:p>
      <w:pPr>
        <w:spacing w:line="560" w:lineRule="exact"/>
        <w:ind w:left="0" w:leftChars="0" w:firstLine="640" w:firstLineChars="200"/>
        <w:rPr>
          <w:rStyle w:val="17"/>
          <w:rFonts w:hint="eastAsia" w:ascii="仿宋_GB2312" w:hAnsi="宋体" w:eastAsia="仿宋_GB2312"/>
          <w:kern w:val="0"/>
          <w:sz w:val="32"/>
          <w:szCs w:val="32"/>
        </w:rPr>
      </w:pPr>
      <w:r>
        <w:rPr>
          <w:rStyle w:val="17"/>
          <w:rFonts w:hint="eastAsia" w:ascii="方正黑体_GBK" w:hAnsi="方正黑体_GBK" w:eastAsia="方正黑体_GBK" w:cs="方正黑体_GBK"/>
          <w:kern w:val="0"/>
          <w:sz w:val="32"/>
          <w:szCs w:val="32"/>
          <w:lang w:eastAsia="zh-CN"/>
        </w:rPr>
        <w:t>二、主要成效及做法</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（一）强化顶层设计，聚焦主导产业。</w:t>
      </w:r>
      <w:r>
        <w:rPr>
          <w:rStyle w:val="17"/>
          <w:rFonts w:hint="eastAsia" w:ascii="仿宋_GB2312" w:hAnsi="宋体" w:eastAsia="仿宋_GB2312"/>
          <w:kern w:val="0"/>
          <w:sz w:val="32"/>
          <w:szCs w:val="32"/>
        </w:rPr>
        <w:t>结合州情实际，聚焦林下经济和林下养殖，着力发展林药、林菌、林鸡、林蜂四大产业，各县市突出一县一业，集中力量重点突破、强力推进，形成了兼具规模优势、产业优势和经济优势的林下经济产业体系。突出林下中药材种植，大力发展以铁皮石斛、天麻、黄精、白及、草珊瑚、天冬为主的林下中药材产业。</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lang w:eastAsia="zh-CN"/>
        </w:rPr>
        <w:t>（二）</w:t>
      </w:r>
      <w:r>
        <w:rPr>
          <w:rStyle w:val="17"/>
          <w:rFonts w:hint="eastAsia" w:ascii="仿宋_GB2312" w:hAnsi="宋体" w:eastAsia="仿宋_GB2312"/>
          <w:b/>
          <w:bCs/>
          <w:kern w:val="0"/>
          <w:sz w:val="32"/>
          <w:szCs w:val="32"/>
        </w:rPr>
        <w:t>重视主体培育，推动融合发展。</w:t>
      </w:r>
      <w:r>
        <w:rPr>
          <w:rStyle w:val="17"/>
          <w:rFonts w:hint="eastAsia" w:ascii="仿宋_GB2312" w:hAnsi="宋体" w:eastAsia="仿宋_GB2312"/>
          <w:kern w:val="0"/>
          <w:sz w:val="32"/>
          <w:szCs w:val="32"/>
        </w:rPr>
        <w:t>按照“一个主导产业、一个行业领军型企业、一条完整的产业链供应链”思路，围绕优势产业，紧扣育苗、种植、养殖、加工、销售等各环节，通过培育壮大一批、招商引进一批等方式，大力培育林下经济市场主体，实现林下经济龙头企业从无到有、从弱到强的突破。加快谋划了一批建链、补链、延链、强链的重大项目，纵深推进产业链延伸，确保林下经济产业切实从一产中抓出二、三产来、以二、三产带动一产扩容增效，最终实现三产融合发展。目前，全州引进、培育林下经济州级以上龙头企业47家，省级龙头企业16家，林下经济实施主体达1.37万个。</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lang w:eastAsia="zh-CN"/>
        </w:rPr>
        <w:t>（三）</w:t>
      </w:r>
      <w:r>
        <w:rPr>
          <w:rStyle w:val="17"/>
          <w:rFonts w:hint="eastAsia" w:ascii="仿宋_GB2312" w:hAnsi="宋体" w:eastAsia="仿宋_GB2312"/>
          <w:b/>
          <w:bCs/>
          <w:kern w:val="0"/>
          <w:sz w:val="32"/>
          <w:szCs w:val="32"/>
        </w:rPr>
        <w:t>健全流通体系，促进市场营销。</w:t>
      </w:r>
      <w:r>
        <w:rPr>
          <w:rStyle w:val="17"/>
          <w:rFonts w:hint="eastAsia" w:ascii="仿宋_GB2312" w:hAnsi="宋体" w:eastAsia="仿宋_GB2312"/>
          <w:kern w:val="0"/>
          <w:sz w:val="32"/>
          <w:szCs w:val="32"/>
        </w:rPr>
        <w:t>搭建销售平台。瞄准长三角、珠三角以及粤港澳大湾区等大宗市场，实施订单合作，大力推动林鸡、林菌等农产品进机关、进学校、进社区、进医院、进企事业单位、进超市、进军营“七进”工作。截至目前，实现林下经济产品电子商务交易额4.59亿元。</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lang w:eastAsia="zh-CN"/>
        </w:rPr>
        <w:t>（四）</w:t>
      </w:r>
      <w:r>
        <w:rPr>
          <w:rStyle w:val="17"/>
          <w:rFonts w:hint="eastAsia" w:ascii="仿宋_GB2312" w:hAnsi="宋体" w:eastAsia="仿宋_GB2312"/>
          <w:b/>
          <w:bCs/>
          <w:kern w:val="0"/>
          <w:sz w:val="32"/>
          <w:szCs w:val="32"/>
        </w:rPr>
        <w:t>坚持生态标准，创建林下品牌。</w:t>
      </w:r>
      <w:r>
        <w:rPr>
          <w:rStyle w:val="17"/>
          <w:rFonts w:hint="eastAsia" w:ascii="仿宋_GB2312" w:hAnsi="宋体" w:eastAsia="仿宋_GB2312"/>
          <w:kern w:val="0"/>
          <w:sz w:val="32"/>
          <w:szCs w:val="32"/>
        </w:rPr>
        <w:t>成立黔东南州林下经济标准制定领导小组和四大林下经济标准制定工作组，启动《林下食用菌生产经营管理规范》等11项地方林下经济标准制定工作，完成《雷山乌杆天麻生产技术规程》等地方标准。探索建立林下产品质量分级和质量追溯体系。重点打造“苗侗山珍”林下品牌。截至目前，获得国家地理标志证明商标9个、国家地理标志产品保护认证18个。</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lang w:eastAsia="zh-CN"/>
        </w:rPr>
        <w:t>（五）</w:t>
      </w:r>
      <w:r>
        <w:rPr>
          <w:rStyle w:val="17"/>
          <w:rFonts w:hint="eastAsia" w:ascii="仿宋_GB2312" w:hAnsi="宋体" w:eastAsia="仿宋_GB2312"/>
          <w:b/>
          <w:bCs/>
          <w:kern w:val="0"/>
          <w:sz w:val="32"/>
          <w:szCs w:val="32"/>
        </w:rPr>
        <w:t>优化组织模式，完善利益联结。</w:t>
      </w:r>
      <w:r>
        <w:rPr>
          <w:rStyle w:val="17"/>
          <w:rFonts w:hint="eastAsia" w:ascii="仿宋_GB2312" w:hAnsi="宋体" w:eastAsia="仿宋_GB2312"/>
          <w:kern w:val="0"/>
          <w:sz w:val="32"/>
          <w:szCs w:val="32"/>
        </w:rPr>
        <w:t>通过优化“国有平台公司+龙头企业+合作社+农户”“公司+合作社+农户”“公司+基地+农户”等组织模式，积极探索和完善群众参与林下产业发展并获得收益新模式，让农户通过林地流转、资源入股、劳务收入、效益分红等渠道增收致富，从而实现“利益有联结、管护有保障、技术有提升、收入有提高、产业有发展”。</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lang w:eastAsia="zh-CN"/>
        </w:rPr>
        <w:t>（六）</w:t>
      </w:r>
      <w:r>
        <w:rPr>
          <w:rStyle w:val="17"/>
          <w:rFonts w:hint="eastAsia" w:ascii="仿宋_GB2312" w:hAnsi="宋体" w:eastAsia="仿宋_GB2312"/>
          <w:b/>
          <w:bCs/>
          <w:kern w:val="0"/>
          <w:sz w:val="32"/>
          <w:szCs w:val="32"/>
        </w:rPr>
        <w:t>加强组织领导，坚持高位推动。</w:t>
      </w:r>
      <w:r>
        <w:rPr>
          <w:rStyle w:val="17"/>
          <w:rFonts w:hint="eastAsia" w:ascii="仿宋_GB2312" w:hAnsi="宋体" w:eastAsia="仿宋_GB2312"/>
          <w:kern w:val="0"/>
          <w:sz w:val="32"/>
          <w:szCs w:val="32"/>
        </w:rPr>
        <w:t>成立由党委、政府主要领导担任双组长的州、县两级林下经济领导小组，组建州、县两级林下经济发展专班，确保工作有序推进。每年签订林下经济产业发展目标责任书，把各县市林下经济发展成效纳入年终目标管理，严格考核奖惩。</w:t>
      </w:r>
    </w:p>
    <w:p>
      <w:pPr>
        <w:spacing w:line="560" w:lineRule="exact"/>
        <w:ind w:left="0" w:leftChars="0" w:firstLine="640" w:firstLineChars="200"/>
        <w:rPr>
          <w:rStyle w:val="17"/>
          <w:rFonts w:hint="eastAsia" w:ascii="方正黑体_GBK" w:hAnsi="方正黑体_GBK" w:eastAsia="方正黑体_GBK" w:cs="方正黑体_GBK"/>
          <w:b w:val="0"/>
          <w:bCs w:val="0"/>
          <w:kern w:val="0"/>
          <w:sz w:val="32"/>
          <w:szCs w:val="32"/>
        </w:rPr>
      </w:pPr>
      <w:r>
        <w:rPr>
          <w:rStyle w:val="17"/>
          <w:rFonts w:hint="eastAsia" w:ascii="方正黑体_GBK" w:hAnsi="方正黑体_GBK" w:eastAsia="方正黑体_GBK" w:cs="方正黑体_GBK"/>
          <w:b w:val="0"/>
          <w:bCs w:val="0"/>
          <w:kern w:val="0"/>
          <w:sz w:val="32"/>
          <w:szCs w:val="32"/>
        </w:rPr>
        <w:t>三、存在的问题</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（一）产业规模偏小。</w:t>
      </w:r>
      <w:r>
        <w:rPr>
          <w:rStyle w:val="17"/>
          <w:rFonts w:hint="eastAsia" w:ascii="仿宋_GB2312" w:hAnsi="宋体" w:eastAsia="仿宋_GB2312"/>
          <w:kern w:val="0"/>
          <w:sz w:val="32"/>
          <w:szCs w:val="32"/>
        </w:rPr>
        <w:t>全州林下经济还处于起步阶段。如林下食用菌没有一个县达到万亩规模，发展较好的剑河仅有6000亩；主导产业为林药的9个县中（丹寨、施秉、镇远、锦屏、黎平、从江、榕江、雷山、台江），单品超过5万亩的只有榕江草珊瑚，其余8个县单品均在3万亩以下。</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（二）种苗保供不足。</w:t>
      </w:r>
      <w:r>
        <w:rPr>
          <w:rStyle w:val="17"/>
          <w:rFonts w:hint="eastAsia" w:ascii="仿宋_GB2312" w:hAnsi="宋体" w:eastAsia="仿宋_GB2312"/>
          <w:kern w:val="0"/>
          <w:sz w:val="32"/>
          <w:szCs w:val="32"/>
        </w:rPr>
        <w:t>全州林木种苗生产企业达到265家，苗圃面积2.25万亩，但主要为绿化苗木和杉木，菌材林和林业产业发展所需的苗木缺口较大。</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（三）管理水平不高。</w:t>
      </w:r>
      <w:r>
        <w:rPr>
          <w:rStyle w:val="17"/>
          <w:rFonts w:hint="eastAsia" w:ascii="仿宋_GB2312" w:hAnsi="宋体" w:eastAsia="仿宋_GB2312"/>
          <w:kern w:val="0"/>
          <w:sz w:val="32"/>
          <w:szCs w:val="32"/>
        </w:rPr>
        <w:t>林下经济涉及许多新领域、新课题，相关种养殖技术还在不断摸索总结，加上乡镇农技人员力量薄弱，难以满足发展需要。</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（四）技术服务不够。</w:t>
      </w:r>
      <w:r>
        <w:rPr>
          <w:rStyle w:val="17"/>
          <w:rFonts w:hint="eastAsia" w:ascii="仿宋_GB2312" w:hAnsi="宋体" w:eastAsia="仿宋_GB2312"/>
          <w:kern w:val="0"/>
          <w:sz w:val="32"/>
          <w:szCs w:val="32"/>
        </w:rPr>
        <w:t>技术人才培养工作滞后，技术人员严重缺乏。</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（五）产业普遍断链条。</w:t>
      </w:r>
      <w:r>
        <w:rPr>
          <w:rStyle w:val="17"/>
          <w:rFonts w:hint="eastAsia" w:ascii="仿宋_GB2312" w:hAnsi="宋体" w:eastAsia="仿宋_GB2312"/>
          <w:kern w:val="0"/>
          <w:sz w:val="32"/>
          <w:szCs w:val="32"/>
        </w:rPr>
        <w:t>一是精深加工不足。全州林下产业精深加工少，产业附加值低</w:t>
      </w:r>
      <w:r>
        <w:rPr>
          <w:rStyle w:val="17"/>
          <w:rFonts w:hint="eastAsia" w:ascii="仿宋_GB2312" w:hAnsi="宋体" w:eastAsia="仿宋_GB2312"/>
          <w:kern w:val="0"/>
          <w:sz w:val="32"/>
          <w:szCs w:val="32"/>
          <w:lang w:eastAsia="zh-CN"/>
        </w:rPr>
        <w:t>，</w:t>
      </w:r>
      <w:r>
        <w:rPr>
          <w:rStyle w:val="17"/>
          <w:rFonts w:hint="eastAsia" w:ascii="仿宋_GB2312" w:hAnsi="宋体" w:eastAsia="仿宋_GB2312"/>
          <w:kern w:val="0"/>
          <w:sz w:val="32"/>
          <w:szCs w:val="32"/>
        </w:rPr>
        <w:t>后续发展乏力。二是冷链物流设施短缺。全州冷库设施189个、运输车辆187台，累计库容37万立方米，但是整体设施结构布局不平衡，不能满足大量生鲜产品的储运需求。</w:t>
      </w:r>
      <w:r>
        <w:rPr>
          <w:rStyle w:val="17"/>
          <w:rFonts w:hint="eastAsia" w:ascii="仿宋_GB2312" w:hAnsi="宋体" w:eastAsia="仿宋_GB2312"/>
          <w:kern w:val="0"/>
          <w:sz w:val="32"/>
          <w:szCs w:val="32"/>
          <w:lang w:eastAsia="zh-CN"/>
        </w:rPr>
        <w:t>三是</w:t>
      </w:r>
      <w:r>
        <w:rPr>
          <w:rStyle w:val="17"/>
          <w:rFonts w:hint="eastAsia" w:ascii="仿宋_GB2312" w:hAnsi="宋体" w:eastAsia="仿宋_GB2312"/>
          <w:kern w:val="0"/>
          <w:sz w:val="32"/>
          <w:szCs w:val="32"/>
        </w:rPr>
        <w:t>订单化生产占比低，部分林下产品仍存在产销对接不畅的问题。</w:t>
      </w:r>
      <w:r>
        <w:rPr>
          <w:rStyle w:val="17"/>
          <w:rFonts w:hint="eastAsia" w:ascii="仿宋_GB2312" w:hAnsi="宋体" w:eastAsia="仿宋_GB2312"/>
          <w:kern w:val="0"/>
          <w:sz w:val="32"/>
          <w:szCs w:val="32"/>
          <w:lang w:eastAsia="zh-CN"/>
        </w:rPr>
        <w:t>是四</w:t>
      </w:r>
      <w:r>
        <w:rPr>
          <w:rStyle w:val="17"/>
          <w:rFonts w:hint="eastAsia" w:ascii="仿宋_GB2312" w:hAnsi="宋体" w:eastAsia="仿宋_GB2312"/>
          <w:kern w:val="0"/>
          <w:sz w:val="32"/>
          <w:szCs w:val="32"/>
        </w:rPr>
        <w:t>林下四大产业标准体系建设推进缓慢，林下产品五花八门、良莠不齐、价格混乱，全州没有一支打得响的品牌。</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（六）基础设施不健全。</w:t>
      </w:r>
      <w:r>
        <w:rPr>
          <w:rStyle w:val="17"/>
          <w:rFonts w:hint="eastAsia" w:ascii="仿宋_GB2312" w:hAnsi="宋体" w:eastAsia="仿宋_GB2312"/>
          <w:kern w:val="0"/>
          <w:sz w:val="32"/>
          <w:szCs w:val="32"/>
        </w:rPr>
        <w:t>普遍存在水、电、道路、通讯等基础设施条件差、配套不全的难题，严重制约了林下经济的集约化、规模化、产业化发展等。</w:t>
      </w:r>
    </w:p>
    <w:p>
      <w:pPr>
        <w:spacing w:line="560" w:lineRule="exact"/>
        <w:ind w:left="0" w:leftChars="0" w:firstLine="640" w:firstLineChars="200"/>
        <w:rPr>
          <w:rStyle w:val="17"/>
          <w:rFonts w:hint="eastAsia" w:ascii="方正黑体_GBK" w:hAnsi="方正黑体_GBK" w:eastAsia="方正黑体_GBK" w:cs="方正黑体_GBK"/>
          <w:kern w:val="0"/>
          <w:sz w:val="32"/>
          <w:szCs w:val="32"/>
        </w:rPr>
      </w:pPr>
      <w:r>
        <w:rPr>
          <w:rStyle w:val="17"/>
          <w:rFonts w:hint="eastAsia" w:ascii="方正黑体_GBK" w:hAnsi="方正黑体_GBK" w:eastAsia="方正黑体_GBK" w:cs="方正黑体_GBK"/>
          <w:kern w:val="0"/>
          <w:sz w:val="32"/>
          <w:szCs w:val="32"/>
        </w:rPr>
        <w:t>四、对策与建议</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（一）持续推进基地建设。</w:t>
      </w:r>
      <w:r>
        <w:rPr>
          <w:rStyle w:val="17"/>
          <w:rFonts w:hint="eastAsia" w:ascii="仿宋_GB2312" w:hAnsi="宋体" w:eastAsia="仿宋_GB2312"/>
          <w:kern w:val="0"/>
          <w:sz w:val="32"/>
          <w:szCs w:val="32"/>
        </w:rPr>
        <w:t>继续督促指导各县市做好“百千万”工程建设，对比较成熟的基地，要迅速扩大规模、提质升级，对于新建的基地，要选好产业、作好布局，继续抓好主导产业，形成规模大、质量高、产业突出、发展良好林下经济新态势。</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（二）创新推动全产业链。</w:t>
      </w:r>
      <w:r>
        <w:rPr>
          <w:rStyle w:val="17"/>
          <w:rFonts w:hint="eastAsia" w:ascii="仿宋_GB2312" w:hAnsi="宋体" w:eastAsia="仿宋_GB2312"/>
          <w:kern w:val="0"/>
          <w:sz w:val="32"/>
          <w:szCs w:val="32"/>
        </w:rPr>
        <w:t>加快实现林下产品精深加工和数据动态采集。狠抓招商引资，积极引进有实力的林下经济加工企业，大力扶持本地有潜力的加工企业，通过培育一大批龙头企业，推动林下经济产品精深加工。</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（三）加强资金项目支持。</w:t>
      </w:r>
      <w:r>
        <w:rPr>
          <w:rStyle w:val="17"/>
          <w:rFonts w:hint="eastAsia" w:ascii="仿宋_GB2312" w:hAnsi="宋体" w:eastAsia="仿宋_GB2312"/>
          <w:kern w:val="0"/>
          <w:sz w:val="32"/>
          <w:szCs w:val="32"/>
        </w:rPr>
        <w:t>进一步指导各县市做好林业产业发展项目的编制和申报工作，积极争取</w:t>
      </w:r>
      <w:r>
        <w:rPr>
          <w:rStyle w:val="17"/>
          <w:rFonts w:hint="eastAsia" w:ascii="仿宋_GB2312" w:hAnsi="宋体" w:eastAsia="仿宋_GB2312"/>
          <w:kern w:val="0"/>
          <w:sz w:val="32"/>
          <w:szCs w:val="32"/>
          <w:lang w:eastAsia="zh-CN"/>
        </w:rPr>
        <w:t>中央、</w:t>
      </w:r>
      <w:r>
        <w:rPr>
          <w:rStyle w:val="17"/>
          <w:rFonts w:hint="eastAsia" w:ascii="仿宋_GB2312" w:hAnsi="宋体" w:eastAsia="仿宋_GB2312"/>
          <w:kern w:val="0"/>
          <w:sz w:val="32"/>
          <w:szCs w:val="32"/>
        </w:rPr>
        <w:t>省级林业项目发展资金。加强财政保障，每年安排一定财政资金支持重点基地建设、市场主体培育和项目开发。</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（四）强化科技支撑。</w:t>
      </w:r>
      <w:r>
        <w:rPr>
          <w:rStyle w:val="17"/>
          <w:rFonts w:hint="eastAsia" w:ascii="仿宋_GB2312" w:hAnsi="宋体" w:eastAsia="仿宋_GB2312"/>
          <w:kern w:val="0"/>
          <w:sz w:val="32"/>
          <w:szCs w:val="32"/>
        </w:rPr>
        <w:t>要抓好产品选定、开发及其项目发展程序等各个环节的科技支撑，通过与科研院校合作、招商引资引进、培育龙头企业，高效、规范运营管理，打造在贵州乃至全国有重要影响的生态特色品牌，提升全州林下经济产品的影响力和竞争力。</w:t>
      </w:r>
    </w:p>
    <w:p>
      <w:pPr>
        <w:spacing w:line="560" w:lineRule="exact"/>
        <w:ind w:left="0" w:leftChars="0" w:firstLine="643" w:firstLineChars="200"/>
        <w:rPr>
          <w:rStyle w:val="17"/>
          <w:rFonts w:hint="eastAsia" w:ascii="仿宋_GB2312" w:hAnsi="宋体" w:eastAsia="仿宋_GB2312"/>
          <w:kern w:val="0"/>
          <w:sz w:val="32"/>
          <w:szCs w:val="32"/>
        </w:rPr>
      </w:pPr>
      <w:r>
        <w:rPr>
          <w:rStyle w:val="17"/>
          <w:rFonts w:hint="eastAsia" w:ascii="仿宋_GB2312" w:hAnsi="宋体" w:eastAsia="仿宋_GB2312"/>
          <w:b/>
          <w:bCs/>
          <w:kern w:val="0"/>
          <w:sz w:val="32"/>
          <w:szCs w:val="32"/>
        </w:rPr>
        <w:t>（五）加大指导督促力度。</w:t>
      </w:r>
      <w:r>
        <w:rPr>
          <w:rStyle w:val="17"/>
          <w:rFonts w:hint="eastAsia" w:ascii="仿宋_GB2312" w:hAnsi="宋体" w:eastAsia="仿宋_GB2312"/>
          <w:kern w:val="0"/>
          <w:sz w:val="32"/>
          <w:szCs w:val="32"/>
        </w:rPr>
        <w:t>加强调度，强化督查考核，以考核推动林下经济高质量发展。</w:t>
      </w:r>
    </w:p>
    <w:p>
      <w:pPr>
        <w:spacing w:line="560" w:lineRule="exact"/>
        <w:ind w:left="0" w:leftChars="0" w:firstLine="640" w:firstLineChars="200"/>
        <w:rPr>
          <w:rStyle w:val="17"/>
          <w:rFonts w:hint="eastAsia" w:ascii="仿宋_GB2312" w:hAnsi="宋体" w:eastAsia="仿宋_GB2312"/>
          <w:kern w:val="0"/>
          <w:sz w:val="32"/>
          <w:szCs w:val="32"/>
          <w:lang w:val="en-US" w:eastAsia="zh-CN"/>
        </w:rPr>
      </w:pPr>
      <w:r>
        <w:rPr>
          <w:rStyle w:val="17"/>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7"/>
          <w:rFonts w:hint="default" w:ascii="仿宋_GB2312" w:hAnsi="宋体" w:eastAsia="仿宋_GB2312"/>
          <w:kern w:val="0"/>
          <w:sz w:val="32"/>
          <w:szCs w:val="32"/>
          <w:lang w:val="en-US" w:eastAsia="zh-CN"/>
        </w:rPr>
      </w:pPr>
      <w:r>
        <w:rPr>
          <w:rStyle w:val="17"/>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3"/>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F1A5C90"/>
    <w:rsid w:val="42F10C9F"/>
    <w:rsid w:val="493508EE"/>
    <w:rsid w:val="497C7186"/>
    <w:rsid w:val="4A196944"/>
    <w:rsid w:val="4F1E6C2C"/>
    <w:rsid w:val="4F6B5D70"/>
    <w:rsid w:val="4F8D1B23"/>
    <w:rsid w:val="507F065A"/>
    <w:rsid w:val="5236789E"/>
    <w:rsid w:val="559F1A55"/>
    <w:rsid w:val="5A7C34BF"/>
    <w:rsid w:val="5AA17385"/>
    <w:rsid w:val="5B7C24C8"/>
    <w:rsid w:val="5E7C7E34"/>
    <w:rsid w:val="61895CCF"/>
    <w:rsid w:val="66F35DD9"/>
    <w:rsid w:val="6854075C"/>
    <w:rsid w:val="69A37ABB"/>
    <w:rsid w:val="6A907BF8"/>
    <w:rsid w:val="762A4BFD"/>
    <w:rsid w:val="7B7EC3A2"/>
    <w:rsid w:val="7C1F064D"/>
    <w:rsid w:val="7DBB9FDA"/>
    <w:rsid w:val="7FE0122B"/>
    <w:rsid w:val="7FFF2EBA"/>
    <w:rsid w:val="FEEF8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4">
    <w:name w:val="Body Text"/>
    <w:basedOn w:val="1"/>
    <w:next w:val="3"/>
    <w:qFormat/>
    <w:uiPriority w:val="99"/>
    <w:pPr>
      <w:spacing w:afterAutospacing="1"/>
      <w:ind w:left="101"/>
    </w:pPr>
    <w:rPr>
      <w:rFonts w:ascii="宋体" w:hAnsi="宋体"/>
      <w:sz w:val="29"/>
      <w:szCs w:val="29"/>
    </w:rPr>
  </w:style>
  <w:style w:type="paragraph" w:styleId="5">
    <w:name w:val="Body Text Indent"/>
    <w:basedOn w:val="1"/>
    <w:next w:val="4"/>
    <w:qFormat/>
    <w:uiPriority w:val="99"/>
    <w:pPr>
      <w:spacing w:after="120"/>
      <w:ind w:left="420" w:leftChars="200"/>
    </w:pPr>
  </w:style>
  <w:style w:type="paragraph" w:styleId="6">
    <w:name w:val="Body Text Indent 2"/>
    <w:basedOn w:val="1"/>
    <w:next w:val="7"/>
    <w:qFormat/>
    <w:uiPriority w:val="99"/>
    <w:pPr>
      <w:spacing w:after="120" w:line="480" w:lineRule="auto"/>
      <w:ind w:left="420" w:leftChars="200"/>
    </w:pPr>
  </w:style>
  <w:style w:type="paragraph" w:styleId="7">
    <w:name w:val="Body Text Indent 3"/>
    <w:basedOn w:val="1"/>
    <w:qFormat/>
    <w:uiPriority w:val="99"/>
    <w:pPr>
      <w:ind w:left="200" w:leftChars="200"/>
    </w:pPr>
    <w:rPr>
      <w:sz w:val="16"/>
    </w:rPr>
  </w:style>
  <w:style w:type="paragraph" w:styleId="8">
    <w:name w:val="footer"/>
    <w:basedOn w:val="1"/>
    <w:link w:val="27"/>
    <w:qFormat/>
    <w:uiPriority w:val="99"/>
    <w:pPr>
      <w:snapToGrid w:val="0"/>
      <w:jc w:val="left"/>
    </w:pPr>
    <w:rPr>
      <w:sz w:val="18"/>
      <w:szCs w:val="18"/>
    </w:rPr>
  </w:style>
  <w:style w:type="paragraph" w:styleId="9">
    <w:name w:val="header"/>
    <w:basedOn w:val="1"/>
    <w:qFormat/>
    <w:uiPriority w:val="0"/>
    <w:pPr>
      <w:pBdr>
        <w:bottom w:val="single" w:color="000000" w:sz="6" w:space="0"/>
      </w:pBdr>
      <w:snapToGrid w:val="0"/>
      <w:jc w:val="center"/>
    </w:pPr>
    <w:rPr>
      <w:sz w:val="18"/>
      <w:szCs w:val="18"/>
    </w:rPr>
  </w:style>
  <w:style w:type="paragraph" w:styleId="10">
    <w:name w:val="footnote text"/>
    <w:basedOn w:val="1"/>
    <w:semiHidden/>
    <w:qFormat/>
    <w:uiPriority w:val="0"/>
    <w:pPr>
      <w:snapToGrid w:val="0"/>
      <w:jc w:val="left"/>
    </w:pPr>
    <w:rPr>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5"/>
    <w:next w:val="1"/>
    <w:qFormat/>
    <w:uiPriority w:val="99"/>
    <w:pPr>
      <w:ind w:left="0" w:leftChars="0" w:firstLine="880" w:firstLineChars="200"/>
    </w:pPr>
    <w:rPr>
      <w:rFonts w:eastAsia="仿宋_GB2312"/>
    </w:rPr>
  </w:style>
  <w:style w:type="character" w:styleId="15">
    <w:name w:val="Strong"/>
    <w:qFormat/>
    <w:uiPriority w:val="0"/>
    <w:rPr>
      <w:rFonts w:cs="Times New Roman"/>
      <w:b/>
      <w:bCs/>
    </w:rPr>
  </w:style>
  <w:style w:type="character" w:styleId="16">
    <w:name w:val="Hyperlink"/>
    <w:basedOn w:val="17"/>
    <w:semiHidden/>
    <w:qFormat/>
    <w:uiPriority w:val="0"/>
    <w:rPr>
      <w:color w:val="0000FF"/>
      <w:u w:val="single"/>
    </w:rPr>
  </w:style>
  <w:style w:type="character" w:customStyle="1" w:styleId="17">
    <w:name w:val="NormalCharacter"/>
    <w:semiHidden/>
    <w:qFormat/>
    <w:uiPriority w:val="0"/>
  </w:style>
  <w:style w:type="paragraph" w:customStyle="1" w:styleId="18">
    <w:name w:val="Heading1"/>
    <w:basedOn w:val="1"/>
    <w:link w:val="24"/>
    <w:qFormat/>
    <w:uiPriority w:val="0"/>
    <w:pPr>
      <w:spacing w:before="100" w:beforeAutospacing="1" w:after="100" w:afterAutospacing="1"/>
      <w:jc w:val="left"/>
    </w:pPr>
    <w:rPr>
      <w:rFonts w:ascii="宋体" w:hAnsi="宋体" w:cs="宋体"/>
      <w:b/>
      <w:bCs/>
      <w:kern w:val="36"/>
      <w:sz w:val="48"/>
      <w:szCs w:val="48"/>
    </w:rPr>
  </w:style>
  <w:style w:type="table" w:customStyle="1" w:styleId="19">
    <w:name w:val="TableNormal"/>
    <w:semiHidden/>
    <w:qFormat/>
    <w:uiPriority w:val="0"/>
    <w:tblPr>
      <w:tblCellMar>
        <w:top w:w="0" w:type="dxa"/>
        <w:left w:w="0" w:type="dxa"/>
        <w:bottom w:w="0" w:type="dxa"/>
        <w:right w:w="0" w:type="dxa"/>
      </w:tblCellMar>
    </w:tblPr>
  </w:style>
  <w:style w:type="paragraph" w:customStyle="1" w:styleId="20">
    <w:name w:val="Acetate"/>
    <w:basedOn w:val="1"/>
    <w:qFormat/>
    <w:uiPriority w:val="0"/>
    <w:rPr>
      <w:sz w:val="18"/>
      <w:szCs w:val="18"/>
    </w:rPr>
  </w:style>
  <w:style w:type="paragraph" w:customStyle="1" w:styleId="21">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2">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3">
    <w:name w:val="UserStyle_2"/>
    <w:basedOn w:val="1"/>
    <w:qFormat/>
    <w:uiPriority w:val="0"/>
    <w:pPr>
      <w:spacing w:before="100" w:beforeAutospacing="1" w:after="100" w:afterAutospacing="1"/>
      <w:jc w:val="left"/>
    </w:pPr>
    <w:rPr>
      <w:rFonts w:ascii="宋体" w:hAnsi="宋体"/>
      <w:kern w:val="0"/>
      <w:sz w:val="24"/>
    </w:rPr>
  </w:style>
  <w:style w:type="character" w:customStyle="1" w:styleId="24">
    <w:name w:val="UserStyle_3"/>
    <w:basedOn w:val="17"/>
    <w:link w:val="18"/>
    <w:qFormat/>
    <w:uiPriority w:val="0"/>
    <w:rPr>
      <w:rFonts w:ascii="宋体" w:hAnsi="宋体" w:cs="宋体"/>
      <w:b/>
      <w:bCs/>
      <w:kern w:val="36"/>
      <w:sz w:val="48"/>
      <w:szCs w:val="48"/>
    </w:rPr>
  </w:style>
  <w:style w:type="character" w:customStyle="1" w:styleId="25">
    <w:name w:val="UserStyle_4"/>
    <w:basedOn w:val="17"/>
    <w:qFormat/>
    <w:uiPriority w:val="0"/>
  </w:style>
  <w:style w:type="paragraph" w:customStyle="1" w:styleId="26">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7">
    <w:name w:val="页脚 Char"/>
    <w:basedOn w:val="14"/>
    <w:link w:val="8"/>
    <w:qFormat/>
    <w:uiPriority w:val="99"/>
    <w:rPr>
      <w:rFonts w:cstheme="minorBidi"/>
      <w:kern w:val="2"/>
      <w:sz w:val="18"/>
      <w:szCs w:val="18"/>
    </w:rPr>
  </w:style>
  <w:style w:type="paragraph" w:customStyle="1" w:styleId="28">
    <w:name w:val="正文-公1"/>
    <w:basedOn w:val="1"/>
    <w:qFormat/>
    <w:uiPriority w:val="99"/>
    <w:pPr>
      <w:ind w:firstLine="200" w:firstLineChars="200"/>
    </w:pPr>
    <w:rPr>
      <w:rFonts w:ascii="Calibri" w:hAnsi="Calibri"/>
    </w:rPr>
  </w:style>
  <w:style w:type="paragraph" w:customStyle="1" w:styleId="29">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0">
    <w:name w:val="正文文本首行缩进 2"/>
    <w:basedOn w:val="5"/>
    <w:qFormat/>
    <w:uiPriority w:val="0"/>
    <w:pPr>
      <w:ind w:firstLine="420" w:firstLineChars="200"/>
    </w:pPr>
    <w:rPr>
      <w:rFonts w:ascii="Calibri" w:hAnsi="Calibri" w:eastAsia="宋体" w:cs="宋体"/>
    </w:rPr>
  </w:style>
  <w:style w:type="paragraph" w:customStyle="1" w:styleId="31">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4</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Administrator</cp:lastModifiedBy>
  <cp:lastPrinted>2022-01-05T17:49:00Z</cp:lastPrinted>
  <dcterms:modified xsi:type="dcterms:W3CDTF">2022-03-02T06:33:35Z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