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before="0" w:beforeAutospacing="0" w:after="0" w:afterAutospacing="0" w:line="600" w:lineRule="exact"/>
        <w:jc w:val="center"/>
        <w:rPr>
          <w:rStyle w:val="20"/>
          <w:rFonts w:ascii="黑体" w:eastAsia="黑体"/>
          <w:sz w:val="44"/>
          <w:szCs w:val="44"/>
        </w:rPr>
      </w:pPr>
      <w:r>
        <w:rPr>
          <w:rStyle w:val="17"/>
          <w:rFonts w:ascii="黑体" w:eastAsia="黑体" w:cs="宋体"/>
          <w:sz w:val="44"/>
          <w:szCs w:val="44"/>
        </w:rPr>
        <w:t>中国人民政治协商会议</w:t>
      </w:r>
    </w:p>
    <w:p>
      <w:pPr>
        <w:pStyle w:val="26"/>
        <w:spacing w:before="0" w:beforeAutospacing="0" w:after="0" w:afterAutospacing="0" w:line="600" w:lineRule="exact"/>
        <w:jc w:val="center"/>
        <w:rPr>
          <w:rStyle w:val="20"/>
          <w:rFonts w:hint="eastAsia"/>
          <w:sz w:val="44"/>
          <w:szCs w:val="44"/>
        </w:rPr>
      </w:pPr>
      <w:r>
        <w:rPr>
          <w:rStyle w:val="20"/>
          <w:sz w:val="44"/>
          <w:szCs w:val="44"/>
        </w:rPr>
        <w:t>黔东南苗族侗族自治州委员会</w:t>
      </w:r>
    </w:p>
    <w:p>
      <w:pPr>
        <w:pStyle w:val="26"/>
        <w:spacing w:before="0" w:beforeAutospacing="0" w:after="0" w:afterAutospacing="0" w:line="600" w:lineRule="exact"/>
        <w:jc w:val="center"/>
        <w:rPr>
          <w:rStyle w:val="20"/>
          <w:rFonts w:hint="eastAsia"/>
          <w:sz w:val="44"/>
          <w:szCs w:val="44"/>
        </w:rPr>
      </w:pPr>
      <w:r>
        <w:rPr>
          <w:rStyle w:val="20"/>
          <w:sz w:val="44"/>
          <w:szCs w:val="44"/>
        </w:rPr>
        <w:t>提</w:t>
      </w:r>
      <w:r>
        <w:rPr>
          <w:rStyle w:val="20"/>
          <w:rFonts w:hint="eastAsia"/>
          <w:sz w:val="44"/>
          <w:szCs w:val="44"/>
        </w:rPr>
        <w:t xml:space="preserve">   </w:t>
      </w:r>
      <w:r>
        <w:rPr>
          <w:rStyle w:val="20"/>
          <w:sz w:val="44"/>
          <w:szCs w:val="44"/>
        </w:rPr>
        <w:t>案</w:t>
      </w:r>
    </w:p>
    <w:p>
      <w:pPr>
        <w:spacing w:line="320" w:lineRule="exact"/>
        <w:jc w:val="center"/>
        <w:textAlignment w:val="top"/>
        <w:rPr>
          <w:rStyle w:val="20"/>
          <w:rFonts w:hint="eastAsia" w:ascii="宋体" w:hAnsi="宋体"/>
          <w:kern w:val="0"/>
          <w:sz w:val="24"/>
        </w:rPr>
      </w:pPr>
    </w:p>
    <w:p>
      <w:pPr>
        <w:spacing w:line="320" w:lineRule="exact"/>
        <w:jc w:val="center"/>
        <w:textAlignment w:val="top"/>
        <w:rPr>
          <w:rStyle w:val="20"/>
          <w:rFonts w:hint="eastAsia" w:ascii="宋体" w:hAnsi="宋体"/>
          <w:kern w:val="0"/>
          <w:sz w:val="24"/>
        </w:rPr>
      </w:pPr>
    </w:p>
    <w:p>
      <w:pPr>
        <w:spacing w:line="760" w:lineRule="exact"/>
        <w:jc w:val="both"/>
        <w:textAlignment w:val="top"/>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20"/>
          <w:rFonts w:hint="default" w:ascii="宋体" w:hAnsi="宋体" w:eastAsia="宋体"/>
          <w:kern w:val="0"/>
          <w:sz w:val="24"/>
          <w:lang w:val="en-US" w:eastAsia="zh-CN"/>
        </w:rPr>
      </w:pPr>
      <w:r>
        <w:rPr>
          <w:rStyle w:val="20"/>
          <w:rFonts w:ascii="宋体" w:hAnsi="宋体"/>
          <w:kern w:val="0"/>
          <w:sz w:val="24"/>
        </w:rPr>
        <w:t>第十</w:t>
      </w:r>
      <w:r>
        <w:rPr>
          <w:rStyle w:val="20"/>
          <w:rFonts w:hint="eastAsia" w:ascii="宋体" w:hAnsi="宋体"/>
          <w:kern w:val="0"/>
          <w:sz w:val="24"/>
          <w:lang w:val="en-US" w:eastAsia="zh-CN"/>
        </w:rPr>
        <w:t>三</w:t>
      </w:r>
      <w:r>
        <w:rPr>
          <w:rStyle w:val="20"/>
          <w:rFonts w:ascii="宋体" w:hAnsi="宋体"/>
          <w:kern w:val="0"/>
          <w:sz w:val="24"/>
        </w:rPr>
        <w:t>届第</w:t>
      </w:r>
      <w:r>
        <w:rPr>
          <w:rStyle w:val="20"/>
          <w:rFonts w:hint="eastAsia" w:ascii="宋体" w:hAnsi="宋体"/>
          <w:kern w:val="0"/>
          <w:sz w:val="24"/>
          <w:lang w:val="en-US" w:eastAsia="zh-CN"/>
        </w:rPr>
        <w:t>一</w:t>
      </w:r>
      <w:r>
        <w:rPr>
          <w:rStyle w:val="20"/>
          <w:rFonts w:ascii="宋体" w:hAnsi="宋体"/>
          <w:kern w:val="0"/>
          <w:sz w:val="24"/>
        </w:rPr>
        <w:t>次会议　       　第</w:t>
      </w:r>
      <w:r>
        <w:rPr>
          <w:rStyle w:val="20"/>
          <w:rFonts w:hint="eastAsia" w:ascii="宋体" w:hAnsi="宋体"/>
          <w:kern w:val="0"/>
          <w:sz w:val="24"/>
          <w:lang w:val="en-US" w:eastAsia="zh-CN"/>
        </w:rPr>
        <w:t>007</w:t>
      </w:r>
      <w:r>
        <w:rPr>
          <w:rStyle w:val="20"/>
          <w:rFonts w:ascii="宋体" w:hAnsi="宋体"/>
          <w:kern w:val="0"/>
          <w:sz w:val="24"/>
        </w:rPr>
        <w:t xml:space="preserve">号　    </w:t>
      </w:r>
      <w:r>
        <w:rPr>
          <w:rStyle w:val="20"/>
          <w:rFonts w:hint="eastAsia" w:ascii="宋体" w:hAnsi="宋体"/>
          <w:kern w:val="0"/>
          <w:sz w:val="24"/>
        </w:rPr>
        <w:t xml:space="preserve">    </w:t>
      </w:r>
      <w:r>
        <w:rPr>
          <w:rStyle w:val="20"/>
          <w:rFonts w:hint="eastAsia" w:ascii="宋体" w:hAnsi="宋体"/>
          <w:kern w:val="0"/>
          <w:sz w:val="24"/>
          <w:lang w:val="en-US" w:eastAsia="zh-CN"/>
        </w:rPr>
        <w:t xml:space="preserve"> 类别：社会建设类     </w:t>
      </w:r>
    </w:p>
    <w:p>
      <w:pPr>
        <w:spacing w:line="320" w:lineRule="exact"/>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案</w:t>
            </w:r>
            <w:r>
              <w:rPr>
                <w:rStyle w:val="20"/>
                <w:rFonts w:ascii="宋体" w:hAnsi="宋体" w:eastAsia="黑体" w:cs="宋体"/>
                <w:b/>
                <w:bCs/>
                <w:kern w:val="0"/>
                <w:sz w:val="24"/>
              </w:rPr>
              <w:t>  </w:t>
            </w:r>
            <w:r>
              <w:rPr>
                <w:rStyle w:val="20"/>
                <w:rFonts w:ascii="黑体" w:hAnsi="宋体" w:eastAsia="黑体" w:cs="宋体"/>
                <w:b/>
                <w:bCs/>
                <w:kern w:val="0"/>
                <w:sz w:val="24"/>
              </w:rPr>
              <w:t>由</w:t>
            </w:r>
            <w:r>
              <w:rPr>
                <w:rStyle w:val="20"/>
                <w:rFonts w:ascii="宋体" w:hAnsi="宋体" w:cs="宋体"/>
                <w:b/>
                <w:bCs/>
                <w:kern w:val="0"/>
                <w:sz w:val="24"/>
              </w:rPr>
              <w:t>：</w:t>
            </w:r>
          </w:p>
        </w:tc>
        <w:tc>
          <w:tcPr>
            <w:tcW w:w="6797" w:type="dxa"/>
            <w:gridSpan w:val="3"/>
            <w:vAlign w:val="center"/>
          </w:tcPr>
          <w:p>
            <w:pPr>
              <w:jc w:val="left"/>
              <w:rPr>
                <w:rStyle w:val="20"/>
                <w:rFonts w:hint="eastAsia" w:ascii="宋体" w:hAnsi="宋体" w:eastAsia="宋体" w:cs="宋体"/>
                <w:b/>
                <w:bCs/>
                <w:kern w:val="0"/>
                <w:sz w:val="24"/>
                <w:lang w:eastAsia="zh-CN"/>
              </w:rPr>
            </w:pPr>
            <w:r>
              <w:rPr>
                <w:rStyle w:val="20"/>
                <w:rFonts w:hint="eastAsia" w:ascii="宋体" w:hAnsi="宋体" w:eastAsia="宋体" w:cs="宋体"/>
                <w:b/>
                <w:bCs/>
                <w:kern w:val="0"/>
                <w:sz w:val="24"/>
                <w:lang w:eastAsia="zh-CN"/>
              </w:rPr>
              <w:t>关于进一步全面加强我州新时代大中小学劳动教育的建议</w:t>
            </w:r>
          </w:p>
        </w:tc>
      </w:tr>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审查意见</w:t>
            </w:r>
            <w:r>
              <w:rPr>
                <w:rStyle w:val="20"/>
                <w:rFonts w:ascii="宋体" w:hAnsi="宋体" w:cs="宋体"/>
                <w:b/>
                <w:bCs/>
                <w:kern w:val="0"/>
                <w:sz w:val="24"/>
              </w:rPr>
              <w:t>：</w:t>
            </w:r>
          </w:p>
        </w:tc>
        <w:tc>
          <w:tcPr>
            <w:tcW w:w="6797" w:type="dxa"/>
            <w:gridSpan w:val="3"/>
            <w:vAlign w:val="center"/>
          </w:tcPr>
          <w:p>
            <w:pPr>
              <w:jc w:val="left"/>
              <w:rPr>
                <w:rStyle w:val="20"/>
                <w:rFonts w:hint="default" w:ascii="宋体" w:hAnsi="宋体"/>
                <w:kern w:val="0"/>
                <w:sz w:val="24"/>
                <w:lang w:val="en-US" w:eastAsia="zh-CN"/>
              </w:rPr>
            </w:pPr>
            <w:r>
              <w:rPr>
                <w:rStyle w:val="20"/>
                <w:rFonts w:hint="eastAsia" w:ascii="宋体" w:hAnsi="宋体"/>
                <w:kern w:val="0"/>
                <w:sz w:val="24"/>
                <w:lang w:eastAsia="zh-CN"/>
              </w:rPr>
              <w:t>主办：州教育局</w:t>
            </w:r>
            <w:r>
              <w:rPr>
                <w:rStyle w:val="20"/>
                <w:rFonts w:hint="eastAsia" w:ascii="宋体" w:hAnsi="宋体"/>
                <w:kern w:val="0"/>
                <w:sz w:val="24"/>
                <w:lang w:val="en-US" w:eastAsia="zh-CN"/>
              </w:rPr>
              <w:t xml:space="preserve"> 会办：</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20"/>
                <w:rFonts w:ascii="黑体" w:hAnsi="宋体" w:eastAsia="黑体"/>
                <w:kern w:val="0"/>
                <w:sz w:val="24"/>
              </w:rPr>
            </w:pPr>
            <w:r>
              <w:rPr>
                <w:rStyle w:val="20"/>
                <w:rFonts w:ascii="黑体" w:hAnsi="宋体" w:eastAsia="黑体" w:cs="宋体"/>
                <w:b/>
                <w:bCs/>
                <w:kern w:val="0"/>
                <w:sz w:val="24"/>
              </w:rPr>
              <w:t>提</w:t>
            </w:r>
            <w:r>
              <w:rPr>
                <w:rStyle w:val="20"/>
                <w:rFonts w:hint="eastAsia" w:ascii="黑体" w:hAnsi="宋体" w:eastAsia="黑体" w:cs="宋体"/>
                <w:b/>
                <w:bCs/>
                <w:kern w:val="0"/>
                <w:sz w:val="24"/>
                <w:lang w:val="en-US" w:eastAsia="zh-CN"/>
              </w:rPr>
              <w:t xml:space="preserve"> </w:t>
            </w:r>
            <w:r>
              <w:rPr>
                <w:rStyle w:val="20"/>
                <w:rFonts w:ascii="黑体" w:hAnsi="宋体" w:eastAsia="黑体" w:cs="宋体"/>
                <w:b/>
                <w:bCs/>
                <w:kern w:val="0"/>
                <w:sz w:val="24"/>
              </w:rPr>
              <w:t>案</w:t>
            </w:r>
            <w:r>
              <w:rPr>
                <w:rStyle w:val="20"/>
                <w:rFonts w:hint="eastAsia" w:ascii="黑体" w:hAnsi="宋体" w:eastAsia="黑体" w:cs="宋体"/>
                <w:b/>
                <w:bCs/>
                <w:kern w:val="0"/>
                <w:sz w:val="24"/>
                <w:lang w:val="en-US" w:eastAsia="zh-CN"/>
              </w:rPr>
              <w:t xml:space="preserve"> </w:t>
            </w:r>
            <w:r>
              <w:rPr>
                <w:rStyle w:val="20"/>
                <w:rFonts w:ascii="黑体" w:hAnsi="宋体" w:eastAsia="黑体" w:cs="宋体"/>
                <w:b/>
                <w:bCs/>
                <w:kern w:val="0"/>
                <w:sz w:val="24"/>
              </w:rPr>
              <w:t>人</w:t>
            </w:r>
            <w:r>
              <w:rPr>
                <w:rStyle w:val="20"/>
                <w:rFonts w:ascii="宋体" w:hAnsi="宋体" w:eastAsia="黑体" w:cs="宋体"/>
                <w:b/>
                <w:bCs/>
                <w:kern w:val="0"/>
                <w:sz w:val="24"/>
              </w:rPr>
              <w:t>：</w:t>
            </w:r>
          </w:p>
        </w:tc>
        <w:tc>
          <w:tcPr>
            <w:tcW w:w="3872" w:type="dxa"/>
            <w:vAlign w:val="center"/>
          </w:tcPr>
          <w:p>
            <w:pPr>
              <w:jc w:val="left"/>
              <w:rPr>
                <w:rStyle w:val="20"/>
                <w:rFonts w:ascii="宋体" w:hAnsi="宋体"/>
                <w:kern w:val="0"/>
                <w:sz w:val="24"/>
              </w:rPr>
            </w:pPr>
            <w:r>
              <w:rPr>
                <w:rStyle w:val="20"/>
                <w:rFonts w:ascii="宋体" w:hAnsi="宋体" w:cs="宋体"/>
                <w:b/>
                <w:bCs/>
                <w:kern w:val="0"/>
                <w:sz w:val="24"/>
              </w:rPr>
              <w:t>通讯地址</w:t>
            </w:r>
          </w:p>
        </w:tc>
        <w:tc>
          <w:tcPr>
            <w:tcW w:w="1440" w:type="dxa"/>
            <w:vAlign w:val="center"/>
          </w:tcPr>
          <w:p>
            <w:pPr>
              <w:jc w:val="left"/>
              <w:rPr>
                <w:rStyle w:val="20"/>
                <w:rFonts w:ascii="宋体" w:hAnsi="宋体"/>
                <w:kern w:val="0"/>
                <w:sz w:val="24"/>
              </w:rPr>
            </w:pPr>
            <w:r>
              <w:rPr>
                <w:rStyle w:val="20"/>
                <w:rFonts w:ascii="宋体" w:hAnsi="宋体" w:cs="宋体"/>
                <w:b/>
                <w:bCs/>
                <w:kern w:val="0"/>
                <w:sz w:val="24"/>
              </w:rPr>
              <w:t>邮政编码</w:t>
            </w:r>
          </w:p>
        </w:tc>
        <w:tc>
          <w:tcPr>
            <w:tcW w:w="1485" w:type="dxa"/>
            <w:vAlign w:val="center"/>
          </w:tcPr>
          <w:p>
            <w:pPr>
              <w:jc w:val="left"/>
              <w:rPr>
                <w:rStyle w:val="20"/>
                <w:rFonts w:ascii="宋体" w:hAnsi="宋体"/>
                <w:kern w:val="0"/>
                <w:sz w:val="24"/>
              </w:rPr>
            </w:pPr>
            <w:r>
              <w:rPr>
                <w:rStyle w:val="2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rPr>
                <w:rFonts w:hint="eastAsia"/>
                <w:lang w:eastAsia="zh-CN"/>
              </w:rPr>
            </w:pPr>
            <w:r>
              <w:rPr>
                <w:rFonts w:hint="eastAsia"/>
                <w:lang w:eastAsia="zh-CN"/>
              </w:rPr>
              <w:t>民进黔东南州委</w:t>
            </w:r>
          </w:p>
          <w:p>
            <w:pPr>
              <w:pStyle w:val="5"/>
              <w:rPr>
                <w:rFonts w:hint="eastAsia"/>
                <w:lang w:eastAsia="zh-CN"/>
              </w:rPr>
            </w:pPr>
            <w:r>
              <w:rPr>
                <w:rFonts w:hint="eastAsia"/>
                <w:lang w:eastAsia="zh-CN"/>
              </w:rPr>
              <w:t>李树禄</w:t>
            </w:r>
          </w:p>
        </w:tc>
        <w:tc>
          <w:tcPr>
            <w:tcW w:w="3872" w:type="dxa"/>
            <w:vAlign w:val="top"/>
          </w:tcPr>
          <w:p>
            <w:pPr>
              <w:jc w:val="left"/>
              <w:rPr>
                <w:rFonts w:hint="eastAsia" w:ascii="Times New Roman" w:hAnsi="Times New Roman"/>
                <w:lang w:val="en-US" w:eastAsia="zh-CN"/>
              </w:rPr>
            </w:pPr>
            <w:r>
              <w:rPr>
                <w:rFonts w:hint="eastAsia"/>
                <w:lang w:val="en-US" w:eastAsia="zh-CN"/>
              </w:rPr>
              <w:t>凯里市</w:t>
            </w:r>
            <w:r>
              <w:rPr>
                <w:rFonts w:hint="eastAsia" w:ascii="Times New Roman" w:hAnsi="Times New Roman"/>
                <w:lang w:val="en-US" w:eastAsia="zh-CN"/>
              </w:rPr>
              <w:t>文化北路15号</w:t>
            </w:r>
          </w:p>
        </w:tc>
        <w:tc>
          <w:tcPr>
            <w:tcW w:w="1440" w:type="dxa"/>
            <w:vAlign w:val="top"/>
          </w:tcPr>
          <w:p>
            <w:pPr>
              <w:jc w:val="left"/>
              <w:rPr>
                <w:rFonts w:hint="default" w:ascii="Times New Roman" w:hAnsi="Times New Roman"/>
                <w:lang w:val="en-US" w:eastAsia="zh-CN"/>
              </w:rPr>
            </w:pPr>
            <w:r>
              <w:rPr>
                <w:rFonts w:hint="eastAsia"/>
                <w:lang w:val="en-US" w:eastAsia="zh-CN"/>
              </w:rPr>
              <w:t>556000</w:t>
            </w:r>
          </w:p>
        </w:tc>
        <w:tc>
          <w:tcPr>
            <w:tcW w:w="1485" w:type="dxa"/>
            <w:vAlign w:val="top"/>
          </w:tcPr>
          <w:p>
            <w:pPr>
              <w:jc w:val="left"/>
              <w:rPr>
                <w:rFonts w:hint="default" w:ascii="Times New Roman" w:hAnsi="Times New Roman"/>
                <w:lang w:val="en-US" w:eastAsia="zh-CN"/>
              </w:rPr>
            </w:pPr>
            <w:r>
              <w:rPr>
                <w:rFonts w:hint="eastAsia"/>
              </w:rPr>
              <w:t>13339656389</w:t>
            </w:r>
          </w:p>
        </w:tc>
      </w:tr>
      <w:tr>
        <w:tblPrEx>
          <w:tblCellMar>
            <w:top w:w="0" w:type="dxa"/>
            <w:left w:w="15" w:type="dxa"/>
            <w:bottom w:w="0" w:type="dxa"/>
            <w:right w:w="15" w:type="dxa"/>
          </w:tblCellMar>
        </w:tblPrEx>
        <w:tc>
          <w:tcPr>
            <w:tcW w:w="1753" w:type="dxa"/>
            <w:vAlign w:val="center"/>
          </w:tcPr>
          <w:p>
            <w:pPr>
              <w:jc w:val="left"/>
              <w:rPr>
                <w:rStyle w:val="20"/>
                <w:rFonts w:hint="eastAsia" w:ascii="宋体" w:hAnsi="宋体" w:eastAsia="宋体"/>
                <w:kern w:val="0"/>
                <w:sz w:val="24"/>
                <w:lang w:eastAsia="zh-CN"/>
              </w:rPr>
            </w:pPr>
            <w:r>
              <w:rPr>
                <w:rStyle w:val="2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20"/>
                <w:rFonts w:hint="eastAsia" w:ascii="宋体" w:hAnsi="宋体"/>
                <w:kern w:val="0"/>
                <w:sz w:val="24"/>
                <w:lang w:val="en-US" w:eastAsia="zh-CN"/>
              </w:rPr>
            </w:pPr>
            <w:r>
              <w:rPr>
                <w:rStyle w:val="20"/>
                <w:rFonts w:hint="eastAsia" w:ascii="宋体" w:hAnsi="宋体"/>
                <w:kern w:val="0"/>
                <w:sz w:val="24"/>
                <w:lang w:eastAsia="zh-CN"/>
              </w:rPr>
              <w:t>州委办秘书五科：</w:t>
            </w:r>
            <w:r>
              <w:rPr>
                <w:rStyle w:val="20"/>
                <w:rFonts w:hint="eastAsia" w:ascii="宋体" w:hAnsi="宋体"/>
                <w:kern w:val="0"/>
                <w:sz w:val="24"/>
                <w:lang w:val="en-US" w:eastAsia="zh-CN"/>
              </w:rPr>
              <w:t>8270060；</w:t>
            </w:r>
            <w:r>
              <w:rPr>
                <w:rStyle w:val="20"/>
                <w:rFonts w:hint="eastAsia" w:ascii="宋体" w:hAnsi="宋体"/>
                <w:kern w:val="0"/>
                <w:sz w:val="24"/>
                <w:lang w:eastAsia="zh-CN"/>
              </w:rPr>
              <w:t>州政府办建议提案科：</w:t>
            </w:r>
            <w:r>
              <w:rPr>
                <w:rStyle w:val="20"/>
                <w:rFonts w:hint="eastAsia" w:ascii="宋体" w:hAnsi="宋体"/>
                <w:kern w:val="0"/>
                <w:sz w:val="24"/>
                <w:lang w:val="en-US" w:eastAsia="zh-CN"/>
              </w:rPr>
              <w:t>8260016；</w:t>
            </w:r>
          </w:p>
          <w:p>
            <w:pPr>
              <w:jc w:val="left"/>
              <w:rPr>
                <w:rStyle w:val="20"/>
                <w:rFonts w:hint="default" w:ascii="宋体" w:hAnsi="宋体"/>
                <w:kern w:val="0"/>
                <w:sz w:val="24"/>
                <w:lang w:val="en-US"/>
              </w:rPr>
            </w:pPr>
            <w:r>
              <w:rPr>
                <w:rStyle w:val="20"/>
                <w:rFonts w:hint="eastAsia" w:ascii="宋体" w:hAnsi="宋体"/>
                <w:kern w:val="0"/>
                <w:sz w:val="24"/>
                <w:lang w:eastAsia="zh-CN"/>
              </w:rPr>
              <w:t>州政协提案委：</w:t>
            </w:r>
            <w:r>
              <w:rPr>
                <w:rStyle w:val="20"/>
                <w:rFonts w:hint="eastAsia" w:ascii="宋体" w:hAnsi="宋体"/>
                <w:kern w:val="0"/>
                <w:sz w:val="24"/>
                <w:lang w:val="en-US" w:eastAsia="zh-CN"/>
              </w:rPr>
              <w:t>8428866</w:t>
            </w:r>
            <w:r>
              <w:rPr>
                <w:rStyle w:val="20"/>
                <w:rFonts w:hint="eastAsia" w:ascii="宋体" w:hAnsi="宋体"/>
                <w:kern w:val="0"/>
                <w:sz w:val="24"/>
                <w:lang w:eastAsia="zh-CN"/>
              </w:rPr>
              <w:t>。</w:t>
            </w:r>
          </w:p>
        </w:tc>
      </w:tr>
    </w:tbl>
    <w:p>
      <w:pPr>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baseline"/>
        <w:rPr>
          <w:rStyle w:val="20"/>
          <w:rFonts w:hint="eastAsia" w:ascii="仿宋_GB2312" w:hAnsi="宋体" w:eastAsia="仿宋_GB2312"/>
          <w:kern w:val="0"/>
          <w:sz w:val="32"/>
          <w:szCs w:val="32"/>
        </w:rPr>
      </w:pPr>
      <w:r>
        <w:rPr>
          <w:rStyle w:val="20"/>
          <w:rFonts w:hint="eastAsia" w:ascii="仿宋_GB2312" w:hAnsi="宋体" w:eastAsia="仿宋_GB2312"/>
          <w:kern w:val="0"/>
          <w:sz w:val="32"/>
          <w:szCs w:val="32"/>
        </w:rPr>
        <w:t>内容和办法</w:t>
      </w:r>
      <w:r>
        <w:rPr>
          <w:rStyle w:val="20"/>
          <w:rFonts w:hint="eastAsia" w:ascii="仿宋_GB2312" w:hAnsi="宋体" w:eastAsia="仿宋_GB2312"/>
          <w:kern w:val="0"/>
          <w:sz w:val="32"/>
          <w:szCs w:val="32"/>
          <w:lang w:eastAsia="zh-CN"/>
        </w:rPr>
        <w:t>：</w:t>
      </w:r>
    </w:p>
    <w:p>
      <w:pPr>
        <w:spacing w:line="520" w:lineRule="exact"/>
        <w:ind w:left="0" w:leftChars="0"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近年来，</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《中共中央 国务院关于全面加强新时代大中小学劳动教育的意见》、教育部《大中小学劳动教育指导纲要（试行）》和《中共贵州省委办公厅 贵州省人民政府办公厅关于全面加强新时代大中小学劳动教育的实施方案》</w:t>
      </w:r>
      <w:r>
        <w:rPr>
          <w:rFonts w:hint="eastAsia" w:ascii="仿宋" w:hAnsi="仿宋" w:eastAsia="仿宋" w:cs="仿宋"/>
          <w:b w:val="0"/>
          <w:bCs w:val="0"/>
          <w:i w:val="0"/>
          <w:iCs w:val="0"/>
          <w:caps w:val="0"/>
          <w:color w:val="000000" w:themeColor="text1"/>
          <w:spacing w:val="0"/>
          <w:sz w:val="32"/>
          <w:szCs w:val="32"/>
          <w:lang w:val="en-US" w:eastAsia="zh-CN"/>
          <w14:textFill>
            <w14:solidFill>
              <w14:schemeClr w14:val="tx1"/>
            </w14:solidFill>
          </w14:textFill>
        </w:rPr>
        <w:t>陆续出台，代表着各级政府对</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促进学生形成良好的劳动习惯、劳动品质和积极的劳动态度、劳动精神，推动建立课程完善、资源丰富、模式多样、机制健全的劳动教育体系，形成普遍重视</w:t>
      </w:r>
      <w:r>
        <w:rPr>
          <w:rFonts w:hint="eastAsia" w:ascii="仿宋" w:hAnsi="仿宋" w:eastAsia="仿宋" w:cs="仿宋"/>
          <w:b w:val="0"/>
          <w:bCs w:val="0"/>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b w:val="0"/>
          <w:bCs w:val="0"/>
          <w:i w:val="0"/>
          <w:iCs w:val="0"/>
          <w:caps w:val="0"/>
          <w:color w:val="000000" w:themeColor="text1"/>
          <w:spacing w:val="0"/>
          <w:sz w:val="32"/>
          <w:szCs w:val="32"/>
          <w:u w:val="none"/>
          <w:shd w:val="clear" w:fill="FFFFFF"/>
          <w14:textFill>
            <w14:solidFill>
              <w14:schemeClr w14:val="tx1"/>
            </w14:solidFill>
          </w14:textFill>
        </w:rPr>
        <w:instrText xml:space="preserve"> HYPERLINK "http://www.gywb.cn/system/2018/10/15/005867489.shtml" \t "http://www.gywb.cn/system/2021/02/05/_blank" </w:instrText>
      </w:r>
      <w:r>
        <w:rPr>
          <w:rFonts w:hint="eastAsia" w:ascii="仿宋" w:hAnsi="仿宋" w:eastAsia="仿宋" w:cs="仿宋"/>
          <w:b w:val="0"/>
          <w:bCs w:val="0"/>
          <w:i w:val="0"/>
          <w:iCs w:val="0"/>
          <w:caps w:val="0"/>
          <w:color w:val="000000" w:themeColor="text1"/>
          <w:spacing w:val="0"/>
          <w:sz w:val="32"/>
          <w:szCs w:val="32"/>
          <w:u w:val="none"/>
          <w:shd w:val="clear" w:fill="FFFFFF"/>
          <w14:textFill>
            <w14:solidFill>
              <w14:schemeClr w14:val="tx1"/>
            </w14:solidFill>
          </w14:textFill>
        </w:rPr>
        <w:fldChar w:fldCharType="separate"/>
      </w:r>
      <w:r>
        <w:rPr>
          <w:rStyle w:val="19"/>
          <w:rFonts w:hint="eastAsia" w:ascii="仿宋" w:hAnsi="仿宋" w:eastAsia="仿宋" w:cs="仿宋"/>
          <w:b w:val="0"/>
          <w:bCs w:val="0"/>
          <w:i w:val="0"/>
          <w:iCs w:val="0"/>
          <w:caps w:val="0"/>
          <w:color w:val="000000" w:themeColor="text1"/>
          <w:spacing w:val="0"/>
          <w:sz w:val="32"/>
          <w:szCs w:val="32"/>
          <w:u w:val="none"/>
          <w:shd w:val="clear" w:fill="FFFFFF"/>
          <w14:textFill>
            <w14:solidFill>
              <w14:schemeClr w14:val="tx1"/>
            </w14:solidFill>
          </w14:textFill>
        </w:rPr>
        <w:t>劳动教育</w:t>
      </w:r>
      <w:r>
        <w:rPr>
          <w:rFonts w:hint="eastAsia" w:ascii="仿宋" w:hAnsi="仿宋" w:eastAsia="仿宋" w:cs="仿宋"/>
          <w:b w:val="0"/>
          <w:bCs w:val="0"/>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氛围</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的高度重视。黔东南也对应出台《</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黔东南州关于全面加强新时代大中小学劳动教育的实施方案</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》，做了不少工作。</w:t>
      </w:r>
      <w:r>
        <w:rPr>
          <w:rFonts w:hint="eastAsia" w:ascii="仿宋" w:hAnsi="仿宋" w:eastAsia="仿宋" w:cs="仿宋"/>
          <w:b w:val="0"/>
          <w:bCs w:val="0"/>
          <w:color w:val="000000" w:themeColor="text1"/>
          <w:sz w:val="32"/>
          <w:szCs w:val="32"/>
          <w14:textFill>
            <w14:solidFill>
              <w14:schemeClr w14:val="tx1"/>
            </w14:solidFill>
          </w14:textFill>
        </w:rPr>
        <w:t>我州大中小学基本都开展</w:t>
      </w:r>
      <w:r>
        <w:rPr>
          <w:rFonts w:hint="eastAsia" w:ascii="仿宋" w:hAnsi="仿宋" w:eastAsia="仿宋" w:cs="仿宋"/>
          <w:b w:val="0"/>
          <w:bCs w:val="0"/>
          <w:color w:val="000000" w:themeColor="text1"/>
          <w:sz w:val="32"/>
          <w:szCs w:val="32"/>
          <w:lang w:val="en-US" w:eastAsia="zh-CN"/>
          <w14:textFill>
            <w14:solidFill>
              <w14:schemeClr w14:val="tx1"/>
            </w14:solidFill>
          </w14:textFill>
        </w:rPr>
        <w:t>有</w:t>
      </w:r>
      <w:r>
        <w:rPr>
          <w:rFonts w:hint="eastAsia" w:ascii="仿宋" w:hAnsi="仿宋" w:eastAsia="仿宋" w:cs="仿宋"/>
          <w:b w:val="0"/>
          <w:bCs w:val="0"/>
          <w:color w:val="000000" w:themeColor="text1"/>
          <w:sz w:val="32"/>
          <w:szCs w:val="32"/>
          <w14:textFill>
            <w14:solidFill>
              <w14:schemeClr w14:val="tx1"/>
            </w14:solidFill>
          </w14:textFill>
        </w:rPr>
        <w:t>日常生活劳动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生产劳动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服务性劳动</w:t>
      </w:r>
      <w:r>
        <w:rPr>
          <w:rFonts w:hint="eastAsia" w:ascii="仿宋" w:hAnsi="仿宋" w:eastAsia="仿宋" w:cs="仿宋"/>
          <w:b w:val="0"/>
          <w:bCs w:val="0"/>
          <w:color w:val="000000" w:themeColor="text1"/>
          <w:sz w:val="32"/>
          <w:szCs w:val="32"/>
          <w:lang w:val="en-US" w:eastAsia="zh-CN"/>
          <w14:textFill>
            <w14:solidFill>
              <w14:schemeClr w14:val="tx1"/>
            </w14:solidFill>
          </w14:textFill>
        </w:rPr>
        <w:t>等</w:t>
      </w:r>
      <w:r>
        <w:rPr>
          <w:rFonts w:hint="eastAsia" w:ascii="仿宋" w:hAnsi="仿宋" w:eastAsia="仿宋" w:cs="仿宋"/>
          <w:b w:val="0"/>
          <w:bCs w:val="0"/>
          <w:color w:val="000000" w:themeColor="text1"/>
          <w:sz w:val="32"/>
          <w:szCs w:val="32"/>
          <w14:textFill>
            <w14:solidFill>
              <w14:schemeClr w14:val="tx1"/>
            </w14:solidFill>
          </w14:textFill>
        </w:rPr>
        <w:t>形式的劳动教育活动，</w:t>
      </w:r>
      <w:r>
        <w:rPr>
          <w:rFonts w:hint="eastAsia" w:ascii="仿宋" w:hAnsi="仿宋" w:eastAsia="仿宋" w:cs="仿宋"/>
          <w:b w:val="0"/>
          <w:bCs w:val="0"/>
          <w:color w:val="000000" w:themeColor="text1"/>
          <w:sz w:val="32"/>
          <w:szCs w:val="32"/>
          <w:lang w:val="en-US" w:eastAsia="zh-CN"/>
          <w14:textFill>
            <w14:solidFill>
              <w14:schemeClr w14:val="tx1"/>
            </w14:solidFill>
          </w14:textFill>
        </w:rPr>
        <w:t>活动</w:t>
      </w:r>
      <w:r>
        <w:rPr>
          <w:rFonts w:hint="eastAsia" w:ascii="仿宋" w:hAnsi="仿宋" w:eastAsia="仿宋" w:cs="仿宋"/>
          <w:b w:val="0"/>
          <w:bCs w:val="0"/>
          <w:color w:val="000000" w:themeColor="text1"/>
          <w:sz w:val="32"/>
          <w:szCs w:val="32"/>
          <w14:textFill>
            <w14:solidFill>
              <w14:schemeClr w14:val="tx1"/>
            </w14:solidFill>
          </w14:textFill>
        </w:rPr>
        <w:t>对提升学生的劳动观念、技能和兴趣起到一定的促进作用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但</w:t>
      </w:r>
      <w:r>
        <w:rPr>
          <w:rFonts w:hint="eastAsia" w:ascii="仿宋" w:hAnsi="仿宋" w:eastAsia="仿宋" w:cs="仿宋"/>
          <w:b w:val="0"/>
          <w:bCs w:val="0"/>
          <w:color w:val="000000" w:themeColor="text1"/>
          <w:sz w:val="32"/>
          <w:szCs w:val="32"/>
          <w14:textFill>
            <w14:solidFill>
              <w14:schemeClr w14:val="tx1"/>
            </w14:solidFill>
          </w14:textFill>
        </w:rPr>
        <w:t>距离国家、省劳动教育的相关要求还有很大的差距</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val="en-US" w:eastAsia="zh-CN"/>
          <w14:textFill>
            <w14:solidFill>
              <w14:schemeClr w14:val="tx1"/>
            </w14:solidFill>
          </w14:textFill>
        </w:rPr>
        <w:t>存在以下困难和问题：</w:t>
      </w:r>
    </w:p>
    <w:p>
      <w:pPr>
        <w:spacing w:line="520" w:lineRule="exact"/>
        <w:ind w:left="0" w:leftChars="0" w:firstLine="643"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贯彻劳动教育在立德树人中重要作用认识不足</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教育者</w:t>
      </w:r>
      <w:r>
        <w:rPr>
          <w:rFonts w:hint="eastAsia" w:ascii="仿宋" w:hAnsi="仿宋" w:eastAsia="仿宋" w:cs="仿宋"/>
          <w:b w:val="0"/>
          <w:bCs w:val="0"/>
          <w:color w:val="000000" w:themeColor="text1"/>
          <w:sz w:val="32"/>
          <w:szCs w:val="32"/>
          <w:lang w:val="en-US" w:eastAsia="zh-CN"/>
          <w14:textFill>
            <w14:solidFill>
              <w14:schemeClr w14:val="tx1"/>
            </w14:solidFill>
          </w14:textFill>
        </w:rPr>
        <w:t>对</w:t>
      </w:r>
      <w:r>
        <w:rPr>
          <w:rFonts w:hint="eastAsia" w:ascii="仿宋" w:hAnsi="仿宋" w:eastAsia="仿宋" w:cs="仿宋"/>
          <w:b w:val="0"/>
          <w:bCs w:val="0"/>
          <w:color w:val="000000" w:themeColor="text1"/>
          <w:sz w:val="32"/>
          <w:szCs w:val="32"/>
          <w14:textFill>
            <w14:solidFill>
              <w14:schemeClr w14:val="tx1"/>
            </w14:solidFill>
          </w14:textFill>
        </w:rPr>
        <w:t>把劳动教育纳入人才培养全过程构建德智体美劳全面培养的教育体系认识不足，充分发挥劳动教育在立德树人中的重要作用有待提高，深刻认识劳动创造价值、创造财富、创造美好生活的道理有待加强，对树立正确劳动价值取向需进一步提升。</w:t>
      </w:r>
    </w:p>
    <w:p>
      <w:pPr>
        <w:spacing w:line="520" w:lineRule="exact"/>
        <w:ind w:left="0" w:leftChars="0" w:firstLine="643"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二、构建劳动教育体系系统性设计不完善。</w:t>
      </w:r>
      <w:r>
        <w:rPr>
          <w:rFonts w:hint="eastAsia" w:ascii="仿宋" w:hAnsi="仿宋" w:eastAsia="仿宋" w:cs="仿宋"/>
          <w:b w:val="0"/>
          <w:bCs w:val="0"/>
          <w:color w:val="000000" w:themeColor="text1"/>
          <w:sz w:val="32"/>
          <w:szCs w:val="32"/>
          <w14:textFill>
            <w14:solidFill>
              <w14:schemeClr w14:val="tx1"/>
            </w14:solidFill>
          </w14:textFill>
        </w:rPr>
        <w:t>教育行政部门、大中小学校对不同年龄学段劳动教育内容整体规划不够完善，优化劳动教育课程设置欠规范，多数没有将劳动教育设立为必修课程，其他课程结合学科、专业特点没有有机融入劳动教育内容；劳动教育课程资源比较少，缺乏符合大中小学劳动教育要求和实际、适合不同学段学生特点的劳动教育教材、劳动实践指导手册、专题读本、示范教案；劳动素养评价体系不健全，没有将劳动素养纳入学生综合素质评价体系。</w:t>
      </w:r>
    </w:p>
    <w:p>
      <w:pPr>
        <w:spacing w:line="520" w:lineRule="exact"/>
        <w:ind w:left="0" w:leftChars="0" w:firstLine="643"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三、劳动教育实践活动形式单一。</w:t>
      </w:r>
      <w:r>
        <w:rPr>
          <w:rFonts w:hint="eastAsia" w:ascii="仿宋" w:hAnsi="仿宋" w:eastAsia="仿宋" w:cs="仿宋"/>
          <w:b w:val="0"/>
          <w:bCs w:val="0"/>
          <w:color w:val="000000" w:themeColor="text1"/>
          <w:sz w:val="32"/>
          <w:szCs w:val="32"/>
          <w14:textFill>
            <w14:solidFill>
              <w14:schemeClr w14:val="tx1"/>
            </w14:solidFill>
          </w14:textFill>
        </w:rPr>
        <w:t>校内劳动实践活动、劳动教育形式单一，课程设置欠科学，难以调动学生的积极性，理论与实践有一定脱离；对日常家庭劳动教育认识不足，充分发挥家庭是实施劳动教育的重要场所有差距，对家长要树立正确的劳动教育观、培育崇尚劳动的良好家风需提高；拓展社会劳动实践活动不足。</w:t>
      </w:r>
    </w:p>
    <w:p>
      <w:pPr>
        <w:spacing w:line="520" w:lineRule="exact"/>
        <w:ind w:left="0" w:leftChars="0" w:firstLine="643"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四、劳动教育保障支持体系有待加强。</w:t>
      </w:r>
      <w:r>
        <w:rPr>
          <w:rFonts w:hint="eastAsia" w:ascii="仿宋" w:hAnsi="仿宋" w:eastAsia="仿宋" w:cs="仿宋"/>
          <w:b w:val="0"/>
          <w:bCs w:val="0"/>
          <w:color w:val="000000" w:themeColor="text1"/>
          <w:sz w:val="32"/>
          <w:szCs w:val="32"/>
          <w14:textFill>
            <w14:solidFill>
              <w14:schemeClr w14:val="tx1"/>
            </w14:solidFill>
          </w14:textFill>
        </w:rPr>
        <w:t>把劳动教育场所、劳动实践基地、师资队伍建设等纳入教育发展规划有差距，解决“有劳无教”、“有教无劳”等问题，保障劳动教育经费投入不足 ，健全安全保障机制有待提高。</w:t>
      </w:r>
    </w:p>
    <w:p>
      <w:pPr>
        <w:spacing w:line="520" w:lineRule="exact"/>
        <w:ind w:left="0" w:leftChars="0"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建议</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spacing w:line="520" w:lineRule="exact"/>
        <w:ind w:left="0" w:leftChars="0" w:firstLine="643"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一、提高认识落实劳动教育育人作用</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认真学习落实《中共中央、国务院关于全面加强新时代大中小学劳动教育的意见》、教育部关于印发《大中小学劳动教育指导纲要（试行）》通知精神，全面贯彻党的教育方针，落实立德树人根本任务，把劳动教育纳入人才培养全过程构建德智体美劳全面培养的教育体系，充分发挥劳动教育在立德树人中的重要作用；培养良好的劳动习惯和品质，继承和弘扬劳动精神，形成主动劳动、坚持劳动的良好习惯和诚实守信、吃苦耐劳的品质，具备主动作为、实干奉献的责任担当意识与公共服务意识。政府、学校、家庭、社会要充分认识到加强劳动教育事关青少年健康成长，事关经济发展和社会进步，事关中华优秀传统文化世代传承。</w:t>
      </w:r>
    </w:p>
    <w:p>
      <w:pPr>
        <w:spacing w:line="520" w:lineRule="exact"/>
        <w:ind w:left="0" w:leftChars="0" w:firstLine="643"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二、全面构建劳动教育体系</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整体规划劳动教育内容。小学低年级要注重劳动意识的启蒙，以个人生活起居为主要内容，初步认识劳动最光荣，热爱劳动；小学中高年级注重劳动习惯的养成，初步养成热爱劳动、热爱生活的态度；初中要注重增加劳动知识与技能，初步养成认真负责、吃苦耐劳的劳动品质与职业意识；普通高中要注重丰富职业体验，开展服务性劳动和生产劳动，养成服务他人与社会的劳动情怀；普通高等学校要结合专业特点重视创造性劳动锻炼，提高职业劳动技能水平，培育学生精益求精的工匠精神和爱岗敬业的劳动态度，开展志愿服务、勤工俭学、社会实践、实习实训等生产劳动和服务性劳动。</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优化劳动教育课程设置。设立劳动教育必修课程，系统加强劳动教育；其他课程须结合学科、专业特点有机融入劳动教育内容、渗透劳动观念、增加动手实践环节；高等学校要在公共基础课教学中融入劳动教育，在专业课中渗透工匠精神，完善人才培养方案；鼓励深入挖掘黔东南特色民族文化中的劳动教育资源，将劳动教育与红色基因传承、生态文明、现代农业、民族文化深度融合，开发具有黔东南特色的劳动教育课程。</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研发劳动教育课程资源。加强劳动教育教材建设，研发符合大中小学劳动教育要求和实际、适合不同学段学生特点的劳动教育教材、劳动实践指导手册、专题读本、示范教案，开展劳动教育精品课程评选、公开课观摩、示范课培训、优秀实践成果展示等活动，形成一批高质量的大中小学劳动教育精品示范课例。</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四</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开展劳动素养评价。将劳动素养纳入学生综合素质评价体系，以劳动教育目标、内容要求为依据，明确劳动实践类型、次数、时间等考核要求，将过程性评价和结果性评价结合起来，健全学生劳动素养评价标准、程序和方法。</w:t>
      </w:r>
    </w:p>
    <w:p>
      <w:pPr>
        <w:spacing w:line="520" w:lineRule="exact"/>
        <w:ind w:left="0" w:leftChars="0" w:firstLine="643"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三、拓展劳动教育实践活动形式</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丰富校内劳动实践活动。科学设计校内劳动项目，组织开展形式多样的校内劳动实践活动。</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强化日常家庭劳动教育。家庭是实施劳动教育的重要场所，家长要树立正确的劳动教育观，注重日常生活的言传身教，培育崇尚劳动的良好家风，利用衣食住行等日常生活中的劳动实践机会，鼓励孩子自觉承担家务劳动，主动参与家庭事务管理。</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拓展社会劳动实践活动。聚焦社会各界资源为学生进行劳动实践创造机会、搭建平台、提供保障。</w:t>
      </w:r>
    </w:p>
    <w:p>
      <w:pPr>
        <w:spacing w:line="520" w:lineRule="exact"/>
        <w:ind w:left="0" w:leftChars="0" w:firstLine="643"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四、建立健全劳动教育保障支持机制</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推进实践场所建设。要把劳动教育场所或劳动实践基地建设纳入教育发展规划，统筹规划和配置劳动教育实践资源，充分利用现有综合实践基地、青少年校外活动场所、普通高等学校劳动实践场所，打造一批以生存体验、素质拓展、科学实践等为主要内容的规模适当、富有特色、功能完备，满足大中小学多样化劳动实践需求的劳动教育基地、学生社会实践基地；农村学校可争取当地村组社区支持，依托美丽乡村、现代农场、科研实验园地等建立校外劳动教育实践基地。</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加强劳动教育师资队伍建设。重点培育和选拔一批劳动教育教学名师，打造一支以专业教师为骨干、专兼结合的劳动教育师资队伍；建立劳动教师聘任制度，聘请劳动模范、能工巧匠等担任劳动教育兼职教师；推动中小学、职业院校与普通高等学校建立师资交流共享机制，发挥职业院校、普通高校教师的专业优势，承担普通学校劳动教育教学任务；把劳动教育纳入教师培训内容，开展全员培训，对承担劳动教育课程的教师进行专项培训，提高劳动教育专业化水平。</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保障劳动教育经费投入。统筹各级资金和自有财力，多种方式筹措资金，保障劳动教育正常开展，重点支持校内劳动教育场所、校外劳动教育实践基地和校外综合实践基地建设，加强学校劳动教育设施标准化建设，建立学校劳动教育器材、耗材补充的有效机制。</w:t>
      </w:r>
    </w:p>
    <w:p>
      <w:pPr>
        <w:spacing w:line="520" w:lineRule="exact"/>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四</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健全安全保障机制。各相关部门共同参与劳动教育安全管控机制，建立政府、学校、家庭、社会共同参与的劳动教育风险分散机制，提高学校、家庭及学生的风险意识，鼓励购买劳动教育相关保险，保障劳动教育正常开展。</w:t>
      </w:r>
    </w:p>
    <w:p>
      <w:pPr>
        <w:pStyle w:val="21"/>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20"/>
          <w:rFonts w:hint="eastAsia" w:ascii="仿宋" w:hAnsi="仿宋" w:eastAsia="仿宋" w:cs="仿宋"/>
          <w:kern w:val="0"/>
          <w:sz w:val="32"/>
          <w:szCs w:val="32"/>
          <w:lang w:val="en-US" w:eastAsia="zh-CN"/>
        </w:rPr>
      </w:pPr>
      <w:r>
        <w:rPr>
          <w:rStyle w:val="20"/>
          <w:rFonts w:hint="eastAsia" w:ascii="黑体" w:hAnsi="黑体" w:eastAsia="黑体" w:cs="黑体"/>
          <w:b/>
          <w:bCs/>
          <w:kern w:val="0"/>
          <w:sz w:val="32"/>
          <w:szCs w:val="32"/>
          <w:lang w:val="en-US" w:eastAsia="zh-CN"/>
        </w:rPr>
        <w:t>注：</w:t>
      </w:r>
      <w:r>
        <w:rPr>
          <w:rStyle w:val="2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textAlignment w:val="baseline"/>
        <w:rPr>
          <w:rStyle w:val="20"/>
          <w:rFonts w:hint="default" w:ascii="仿宋" w:hAnsi="仿宋" w:eastAsia="仿宋" w:cs="仿宋"/>
          <w:kern w:val="0"/>
          <w:sz w:val="32"/>
          <w:szCs w:val="32"/>
          <w:lang w:val="en-US" w:eastAsia="zh-CN"/>
        </w:rPr>
      </w:pPr>
      <w:r>
        <w:rPr>
          <w:rStyle w:val="2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Style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31CB5"/>
    <w:multiLevelType w:val="multilevel"/>
    <w:tmpl w:val="69D31CB5"/>
    <w:lvl w:ilvl="0" w:tentative="0">
      <w:start w:val="1"/>
      <w:numFmt w:val="decimal"/>
      <w:pStyle w:val="3"/>
      <w:suff w:val="space"/>
      <w:lvlText w:val="%1 "/>
      <w:lvlJc w:val="left"/>
      <w:pPr>
        <w:ind w:left="0" w:firstLine="0"/>
      </w:pPr>
      <w:rPr>
        <w:rFonts w:hint="eastAsia"/>
      </w:rPr>
    </w:lvl>
    <w:lvl w:ilvl="1" w:tentative="0">
      <w:start w:val="1"/>
      <w:numFmt w:val="decimal"/>
      <w:pStyle w:val="4"/>
      <w:suff w:val="space"/>
      <w:lvlText w:val="%1.%2 "/>
      <w:lvlJc w:val="left"/>
      <w:pPr>
        <w:ind w:left="0" w:firstLine="0"/>
      </w:pPr>
      <w:rPr>
        <w:rFonts w:hint="eastAsia"/>
      </w:rPr>
    </w:lvl>
    <w:lvl w:ilvl="2" w:tentative="0">
      <w:start w:val="1"/>
      <w:numFmt w:val="decimal"/>
      <w:suff w:val="space"/>
      <w:lvlText w:val="%1.%2.%3 "/>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90EFC"/>
    <w:rsid w:val="00DD129A"/>
    <w:rsid w:val="00EA1493"/>
    <w:rsid w:val="00FB6911"/>
    <w:rsid w:val="00FF3F01"/>
    <w:rsid w:val="045F3915"/>
    <w:rsid w:val="04BE44D0"/>
    <w:rsid w:val="04F11B66"/>
    <w:rsid w:val="06503351"/>
    <w:rsid w:val="07D26AFC"/>
    <w:rsid w:val="085A13A4"/>
    <w:rsid w:val="08B66956"/>
    <w:rsid w:val="0ABD14D2"/>
    <w:rsid w:val="0D177CE8"/>
    <w:rsid w:val="10B40BCC"/>
    <w:rsid w:val="118823F2"/>
    <w:rsid w:val="123E285D"/>
    <w:rsid w:val="13C57EA3"/>
    <w:rsid w:val="13D43D3C"/>
    <w:rsid w:val="151505F5"/>
    <w:rsid w:val="15B639B8"/>
    <w:rsid w:val="16F969DB"/>
    <w:rsid w:val="176E5764"/>
    <w:rsid w:val="18EC1E64"/>
    <w:rsid w:val="1B913D76"/>
    <w:rsid w:val="1BAB45FA"/>
    <w:rsid w:val="1C81044B"/>
    <w:rsid w:val="1D124BB8"/>
    <w:rsid w:val="1E13056E"/>
    <w:rsid w:val="206C58F5"/>
    <w:rsid w:val="20E366FE"/>
    <w:rsid w:val="216570E5"/>
    <w:rsid w:val="21EA0B57"/>
    <w:rsid w:val="23370767"/>
    <w:rsid w:val="24BD47D4"/>
    <w:rsid w:val="254B7D55"/>
    <w:rsid w:val="255A2EE5"/>
    <w:rsid w:val="26256CDC"/>
    <w:rsid w:val="280B3E99"/>
    <w:rsid w:val="29BB0497"/>
    <w:rsid w:val="29EB237C"/>
    <w:rsid w:val="29F12C92"/>
    <w:rsid w:val="2A6C10ED"/>
    <w:rsid w:val="2BDD0731"/>
    <w:rsid w:val="2C262074"/>
    <w:rsid w:val="2D5976CF"/>
    <w:rsid w:val="2FD84B80"/>
    <w:rsid w:val="30002984"/>
    <w:rsid w:val="30B878C9"/>
    <w:rsid w:val="317F3112"/>
    <w:rsid w:val="32794BB9"/>
    <w:rsid w:val="33552650"/>
    <w:rsid w:val="34013EDB"/>
    <w:rsid w:val="35A1653F"/>
    <w:rsid w:val="36BA365E"/>
    <w:rsid w:val="36DA2F06"/>
    <w:rsid w:val="377737A4"/>
    <w:rsid w:val="38D60616"/>
    <w:rsid w:val="3A7B4D73"/>
    <w:rsid w:val="3D865DCA"/>
    <w:rsid w:val="3EF042C5"/>
    <w:rsid w:val="3F1A5C90"/>
    <w:rsid w:val="40765658"/>
    <w:rsid w:val="40F64A2D"/>
    <w:rsid w:val="42777487"/>
    <w:rsid w:val="42F10C9F"/>
    <w:rsid w:val="443741D2"/>
    <w:rsid w:val="4440539A"/>
    <w:rsid w:val="46D15F6D"/>
    <w:rsid w:val="48061F3D"/>
    <w:rsid w:val="489918A7"/>
    <w:rsid w:val="493508EE"/>
    <w:rsid w:val="497C7186"/>
    <w:rsid w:val="4A196944"/>
    <w:rsid w:val="4A6A10A6"/>
    <w:rsid w:val="4B60589E"/>
    <w:rsid w:val="4C202355"/>
    <w:rsid w:val="4F1E6C2C"/>
    <w:rsid w:val="4F6B5D70"/>
    <w:rsid w:val="4FD75182"/>
    <w:rsid w:val="507F065A"/>
    <w:rsid w:val="5236789E"/>
    <w:rsid w:val="535404C8"/>
    <w:rsid w:val="53C733E2"/>
    <w:rsid w:val="55495127"/>
    <w:rsid w:val="559F1A55"/>
    <w:rsid w:val="56956081"/>
    <w:rsid w:val="5A7C34BF"/>
    <w:rsid w:val="5AA17385"/>
    <w:rsid w:val="5AD6597B"/>
    <w:rsid w:val="5AE50E42"/>
    <w:rsid w:val="5B7C24C8"/>
    <w:rsid w:val="5C6B77F5"/>
    <w:rsid w:val="5F71570F"/>
    <w:rsid w:val="61895CCF"/>
    <w:rsid w:val="66F35DD9"/>
    <w:rsid w:val="67615A51"/>
    <w:rsid w:val="6854075C"/>
    <w:rsid w:val="69A37ABB"/>
    <w:rsid w:val="6A644AE2"/>
    <w:rsid w:val="6F5974BD"/>
    <w:rsid w:val="70307264"/>
    <w:rsid w:val="709E12D9"/>
    <w:rsid w:val="71230126"/>
    <w:rsid w:val="72DF1356"/>
    <w:rsid w:val="737B52FA"/>
    <w:rsid w:val="73AF7E1A"/>
    <w:rsid w:val="743C31A8"/>
    <w:rsid w:val="74620891"/>
    <w:rsid w:val="75087851"/>
    <w:rsid w:val="755F6F6D"/>
    <w:rsid w:val="75A407F7"/>
    <w:rsid w:val="75FC7C1A"/>
    <w:rsid w:val="778C0E73"/>
    <w:rsid w:val="78491FD0"/>
    <w:rsid w:val="7B2A5E81"/>
    <w:rsid w:val="7C1F064D"/>
    <w:rsid w:val="7CE17130"/>
    <w:rsid w:val="7CED07AE"/>
    <w:rsid w:val="7F3C0760"/>
    <w:rsid w:val="7FD55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numPr>
        <w:ilvl w:val="0"/>
        <w:numId w:val="1"/>
      </w:numPr>
      <w:snapToGrid w:val="0"/>
      <w:spacing w:before="50" w:beforeLines="50"/>
      <w:ind w:firstLineChars="0"/>
      <w:outlineLvl w:val="0"/>
    </w:pPr>
    <w:rPr>
      <w:rFonts w:eastAsiaTheme="majorEastAsia"/>
      <w:b/>
      <w:sz w:val="32"/>
    </w:rPr>
  </w:style>
  <w:style w:type="paragraph" w:styleId="4">
    <w:name w:val="heading 2"/>
    <w:next w:val="1"/>
    <w:qFormat/>
    <w:uiPriority w:val="0"/>
    <w:pPr>
      <w:numPr>
        <w:ilvl w:val="1"/>
        <w:numId w:val="1"/>
      </w:numPr>
      <w:snapToGrid w:val="0"/>
      <w:spacing w:before="50" w:beforeLines="50"/>
      <w:outlineLvl w:val="1"/>
    </w:pPr>
    <w:rPr>
      <w:rFonts w:ascii="Times New Roman" w:hAnsi="Times New Roman" w:cs="Times New Roman" w:eastAsiaTheme="majorEastAsia"/>
      <w:b/>
      <w:snapToGrid w:val="0"/>
      <w:kern w:val="2"/>
      <w:sz w:val="28"/>
      <w:szCs w:val="28"/>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table of authorities"/>
    <w:basedOn w:val="1"/>
    <w:next w:val="1"/>
    <w:qFormat/>
    <w:uiPriority w:val="0"/>
    <w:pPr>
      <w:ind w:left="420" w:leftChars="200"/>
    </w:pPr>
    <w:rPr>
      <w:szCs w:val="20"/>
    </w:rPr>
  </w:style>
  <w:style w:type="paragraph" w:styleId="6">
    <w:name w:val="Body Text Indent"/>
    <w:basedOn w:val="1"/>
    <w:next w:val="7"/>
    <w:qFormat/>
    <w:uiPriority w:val="0"/>
    <w:pPr>
      <w:spacing w:after="120"/>
      <w:ind w:left="420" w:leftChars="200"/>
    </w:pPr>
  </w:style>
  <w:style w:type="paragraph" w:styleId="7">
    <w:name w:val="Body Text First Indent 2"/>
    <w:basedOn w:val="6"/>
    <w:next w:val="1"/>
    <w:qFormat/>
    <w:uiPriority w:val="0"/>
    <w:pPr>
      <w:ind w:firstLine="420" w:firstLineChars="200"/>
    </w:pPr>
  </w:style>
  <w:style w:type="paragraph" w:styleId="8">
    <w:name w:val="Block Text"/>
    <w:basedOn w:val="1"/>
    <w:unhideWhenUsed/>
    <w:qFormat/>
    <w:uiPriority w:val="99"/>
    <w:pPr>
      <w:spacing w:after="120"/>
      <w:ind w:left="1440" w:leftChars="700" w:right="1440" w:rightChars="700"/>
    </w:pPr>
  </w:style>
  <w:style w:type="paragraph" w:styleId="9">
    <w:name w:val="Body Text Indent 2"/>
    <w:basedOn w:val="1"/>
    <w:next w:val="10"/>
    <w:qFormat/>
    <w:uiPriority w:val="99"/>
    <w:pPr>
      <w:tabs>
        <w:tab w:val="left" w:pos="420"/>
      </w:tabs>
      <w:ind w:firstLine="640" w:firstLineChars="200"/>
    </w:pPr>
    <w:rPr>
      <w:rFonts w:eastAsia="仿宋_GB2312"/>
      <w:sz w:val="32"/>
      <w:szCs w:val="32"/>
    </w:rPr>
  </w:style>
  <w:style w:type="paragraph" w:styleId="10">
    <w:name w:val="Body Text Indent 3"/>
    <w:basedOn w:val="1"/>
    <w:qFormat/>
    <w:uiPriority w:val="99"/>
    <w:pPr>
      <w:ind w:left="200" w:leftChars="200"/>
    </w:pPr>
    <w:rPr>
      <w:rFonts w:ascii="Times New Roman" w:hAnsi="Times New Roman"/>
      <w:sz w:val="16"/>
      <w:szCs w:val="16"/>
    </w:rPr>
  </w:style>
  <w:style w:type="paragraph" w:styleId="11">
    <w:name w:val="footer"/>
    <w:basedOn w:val="1"/>
    <w:link w:val="32"/>
    <w:qFormat/>
    <w:uiPriority w:val="99"/>
    <w:pPr>
      <w:snapToGrid w:val="0"/>
      <w:jc w:val="left"/>
    </w:pPr>
    <w:rPr>
      <w:sz w:val="18"/>
      <w:szCs w:val="18"/>
    </w:rPr>
  </w:style>
  <w:style w:type="paragraph" w:styleId="12">
    <w:name w:val="header"/>
    <w:basedOn w:val="1"/>
    <w:qFormat/>
    <w:uiPriority w:val="0"/>
    <w:pPr>
      <w:pBdr>
        <w:bottom w:val="single" w:color="000000" w:sz="6" w:space="0"/>
      </w:pBdr>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Autospacing="1" w:afterAutospacing="1"/>
      <w:jc w:val="left"/>
    </w:pPr>
    <w:rPr>
      <w:kern w:val="0"/>
      <w:sz w:val="24"/>
    </w:rPr>
  </w:style>
  <w:style w:type="character" w:styleId="17">
    <w:name w:val="Strong"/>
    <w:qFormat/>
    <w:uiPriority w:val="0"/>
    <w:rPr>
      <w:rFonts w:cs="Times New Roman"/>
      <w:b/>
      <w:bCs/>
    </w:rPr>
  </w:style>
  <w:style w:type="character" w:styleId="18">
    <w:name w:val="page number"/>
    <w:basedOn w:val="16"/>
    <w:qFormat/>
    <w:uiPriority w:val="0"/>
  </w:style>
  <w:style w:type="character" w:styleId="19">
    <w:name w:val="Hyperlink"/>
    <w:basedOn w:val="20"/>
    <w:semiHidden/>
    <w:qFormat/>
    <w:uiPriority w:val="0"/>
    <w:rPr>
      <w:color w:val="0000FF"/>
      <w:u w:val="single"/>
    </w:rPr>
  </w:style>
  <w:style w:type="character" w:customStyle="1" w:styleId="20">
    <w:name w:val="NormalCharacter"/>
    <w:semiHidden/>
    <w:qFormat/>
    <w:uiPriority w:val="0"/>
  </w:style>
  <w:style w:type="paragraph" w:customStyle="1" w:styleId="21">
    <w:name w:val="正文-公1"/>
    <w:basedOn w:val="1"/>
    <w:qFormat/>
    <w:uiPriority w:val="99"/>
    <w:pPr>
      <w:ind w:firstLine="200" w:firstLineChars="200"/>
    </w:pPr>
    <w:rPr>
      <w:rFonts w:ascii="Calibri" w:hAnsi="Calibri"/>
    </w:rPr>
  </w:style>
  <w:style w:type="paragraph" w:customStyle="1" w:styleId="22">
    <w:name w:val="NormalIndent"/>
    <w:basedOn w:val="1"/>
    <w:qFormat/>
    <w:uiPriority w:val="0"/>
    <w:pPr>
      <w:ind w:firstLine="420" w:firstLineChars="200"/>
      <w:jc w:val="both"/>
      <w:textAlignment w:val="baseline"/>
    </w:pPr>
    <w:rPr>
      <w:rFonts w:ascii="Times New Roman" w:hAnsi="Times New Roman"/>
      <w:kern w:val="2"/>
      <w:sz w:val="21"/>
      <w:szCs w:val="21"/>
      <w:lang w:val="en-US" w:eastAsia="zh-CN" w:bidi="ar-SA"/>
    </w:rPr>
  </w:style>
  <w:style w:type="paragraph" w:customStyle="1" w:styleId="23">
    <w:name w:val="Heading1"/>
    <w:basedOn w:val="1"/>
    <w:link w:val="29"/>
    <w:qFormat/>
    <w:uiPriority w:val="0"/>
    <w:pPr>
      <w:spacing w:before="100" w:beforeAutospacing="1" w:after="100" w:afterAutospacing="1"/>
      <w:jc w:val="left"/>
    </w:pPr>
    <w:rPr>
      <w:rFonts w:ascii="宋体" w:hAnsi="宋体" w:cs="宋体"/>
      <w:b/>
      <w:bCs/>
      <w:kern w:val="36"/>
      <w:sz w:val="48"/>
      <w:szCs w:val="48"/>
    </w:rPr>
  </w:style>
  <w:style w:type="table" w:customStyle="1" w:styleId="24">
    <w:name w:val="TableNormal"/>
    <w:semiHidden/>
    <w:qFormat/>
    <w:uiPriority w:val="0"/>
    <w:tblPr>
      <w:tblCellMar>
        <w:top w:w="0" w:type="dxa"/>
        <w:left w:w="0" w:type="dxa"/>
        <w:bottom w:w="0" w:type="dxa"/>
        <w:right w:w="0" w:type="dxa"/>
      </w:tblCellMar>
    </w:tblPr>
  </w:style>
  <w:style w:type="paragraph" w:customStyle="1" w:styleId="25">
    <w:name w:val="Acetate"/>
    <w:basedOn w:val="1"/>
    <w:qFormat/>
    <w:uiPriority w:val="0"/>
    <w:rPr>
      <w:sz w:val="18"/>
      <w:szCs w:val="18"/>
    </w:rPr>
  </w:style>
  <w:style w:type="paragraph" w:customStyle="1" w:styleId="2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8">
    <w:name w:val="UserStyle_2"/>
    <w:basedOn w:val="1"/>
    <w:qFormat/>
    <w:uiPriority w:val="0"/>
    <w:pPr>
      <w:spacing w:before="100" w:beforeAutospacing="1" w:after="100" w:afterAutospacing="1"/>
      <w:jc w:val="left"/>
    </w:pPr>
    <w:rPr>
      <w:rFonts w:ascii="宋体" w:hAnsi="宋体"/>
      <w:kern w:val="0"/>
      <w:sz w:val="24"/>
    </w:rPr>
  </w:style>
  <w:style w:type="character" w:customStyle="1" w:styleId="29">
    <w:name w:val="UserStyle_3"/>
    <w:basedOn w:val="20"/>
    <w:link w:val="23"/>
    <w:qFormat/>
    <w:uiPriority w:val="0"/>
    <w:rPr>
      <w:rFonts w:ascii="宋体" w:hAnsi="宋体" w:cs="宋体"/>
      <w:b/>
      <w:bCs/>
      <w:kern w:val="36"/>
      <w:sz w:val="48"/>
      <w:szCs w:val="48"/>
    </w:rPr>
  </w:style>
  <w:style w:type="character" w:customStyle="1" w:styleId="30">
    <w:name w:val="UserStyle_4"/>
    <w:basedOn w:val="20"/>
    <w:qFormat/>
    <w:uiPriority w:val="0"/>
  </w:style>
  <w:style w:type="paragraph" w:customStyle="1" w:styleId="3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2">
    <w:name w:val="页脚 Char"/>
    <w:basedOn w:val="16"/>
    <w:link w:val="11"/>
    <w:qFormat/>
    <w:uiPriority w:val="99"/>
    <w:rPr>
      <w:rFonts w:cstheme="minorBidi"/>
      <w:kern w:val="2"/>
      <w:sz w:val="18"/>
      <w:szCs w:val="18"/>
    </w:rPr>
  </w:style>
  <w:style w:type="paragraph" w:customStyle="1" w:styleId="33">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34">
    <w:name w:val="15"/>
    <w:basedOn w:val="1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2022-01-08T09:19:56Z</cp:lastPrinted>
  <dcterms:modified xsi:type="dcterms:W3CDTF">2022-01-08T09:19:58Z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20B1606232404C73B13EDC0C0F0231CD</vt:lpwstr>
  </property>
</Properties>
</file>