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0" w:beforeAutospacing="0" w:after="0" w:afterAutospacing="0" w:line="600" w:lineRule="exact"/>
        <w:jc w:val="center"/>
        <w:rPr>
          <w:rStyle w:val="17"/>
          <w:rFonts w:ascii="黑体" w:eastAsia="黑体"/>
          <w:sz w:val="44"/>
          <w:szCs w:val="44"/>
        </w:rPr>
      </w:pPr>
      <w:r>
        <w:rPr>
          <w:rStyle w:val="15"/>
          <w:rFonts w:ascii="黑体" w:eastAsia="黑体" w:cs="宋体"/>
          <w:sz w:val="44"/>
          <w:szCs w:val="44"/>
        </w:rPr>
        <w:t>中国人民政治协商会议</w:t>
      </w:r>
    </w:p>
    <w:p>
      <w:pPr>
        <w:pStyle w:val="21"/>
        <w:spacing w:before="0" w:beforeAutospacing="0" w:after="0" w:afterAutospacing="0" w:line="600" w:lineRule="exact"/>
        <w:jc w:val="center"/>
        <w:rPr>
          <w:rStyle w:val="17"/>
          <w:rFonts w:hint="eastAsia"/>
          <w:sz w:val="44"/>
          <w:szCs w:val="44"/>
        </w:rPr>
      </w:pPr>
      <w:r>
        <w:rPr>
          <w:rStyle w:val="17"/>
          <w:sz w:val="44"/>
          <w:szCs w:val="44"/>
        </w:rPr>
        <w:t>黔东南苗族侗族自治州委员会</w:t>
      </w:r>
    </w:p>
    <w:p>
      <w:pPr>
        <w:pStyle w:val="21"/>
        <w:spacing w:before="0" w:beforeAutospacing="0" w:after="0" w:afterAutospacing="0" w:line="600" w:lineRule="exact"/>
        <w:jc w:val="center"/>
        <w:rPr>
          <w:rStyle w:val="17"/>
          <w:rFonts w:hint="eastAsia"/>
          <w:sz w:val="44"/>
          <w:szCs w:val="44"/>
        </w:rPr>
      </w:pPr>
      <w:r>
        <w:rPr>
          <w:rStyle w:val="17"/>
          <w:sz w:val="44"/>
          <w:szCs w:val="44"/>
        </w:rPr>
        <w:t>提</w:t>
      </w:r>
      <w:r>
        <w:rPr>
          <w:rStyle w:val="17"/>
          <w:rFonts w:hint="eastAsia"/>
          <w:sz w:val="44"/>
          <w:szCs w:val="44"/>
        </w:rPr>
        <w:t xml:space="preserve">   </w:t>
      </w:r>
      <w:r>
        <w:rPr>
          <w:rStyle w:val="17"/>
          <w:sz w:val="44"/>
          <w:szCs w:val="44"/>
        </w:rPr>
        <w:t>案</w:t>
      </w:r>
    </w:p>
    <w:p>
      <w:pPr>
        <w:spacing w:line="320" w:lineRule="exact"/>
        <w:jc w:val="center"/>
        <w:textAlignment w:val="top"/>
        <w:rPr>
          <w:rStyle w:val="17"/>
          <w:rFonts w:hint="eastAsia" w:ascii="宋体" w:hAnsi="宋体"/>
          <w:kern w:val="0"/>
          <w:sz w:val="24"/>
        </w:rPr>
      </w:pPr>
    </w:p>
    <w:p>
      <w:pPr>
        <w:spacing w:line="320" w:lineRule="exact"/>
        <w:jc w:val="center"/>
        <w:textAlignment w:val="top"/>
        <w:rPr>
          <w:rStyle w:val="17"/>
          <w:rFonts w:hint="eastAsia" w:ascii="宋体" w:hAnsi="宋体"/>
          <w:kern w:val="0"/>
          <w:sz w:val="24"/>
        </w:rPr>
      </w:pPr>
    </w:p>
    <w:p>
      <w:pPr>
        <w:spacing w:line="760" w:lineRule="exact"/>
        <w:jc w:val="both"/>
        <w:textAlignment w:val="top"/>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7"/>
          <w:rFonts w:hint="default" w:ascii="宋体" w:hAnsi="宋体" w:eastAsia="宋体"/>
          <w:kern w:val="0"/>
          <w:sz w:val="24"/>
          <w:lang w:val="en-US" w:eastAsia="zh-CN"/>
        </w:rPr>
      </w:pPr>
      <w:r>
        <w:rPr>
          <w:rStyle w:val="17"/>
          <w:rFonts w:ascii="宋体" w:hAnsi="宋体"/>
          <w:kern w:val="0"/>
          <w:sz w:val="24"/>
        </w:rPr>
        <w:t>第十</w:t>
      </w:r>
      <w:r>
        <w:rPr>
          <w:rStyle w:val="17"/>
          <w:rFonts w:hint="eastAsia" w:ascii="宋体" w:hAnsi="宋体"/>
          <w:kern w:val="0"/>
          <w:sz w:val="24"/>
          <w:lang w:val="en-US" w:eastAsia="zh-CN"/>
        </w:rPr>
        <w:t>三</w:t>
      </w:r>
      <w:r>
        <w:rPr>
          <w:rStyle w:val="17"/>
          <w:rFonts w:ascii="宋体" w:hAnsi="宋体"/>
          <w:kern w:val="0"/>
          <w:sz w:val="24"/>
        </w:rPr>
        <w:t>届第</w:t>
      </w:r>
      <w:r>
        <w:rPr>
          <w:rStyle w:val="17"/>
          <w:rFonts w:hint="eastAsia" w:ascii="宋体" w:hAnsi="宋体"/>
          <w:kern w:val="0"/>
          <w:sz w:val="24"/>
          <w:lang w:val="en-US" w:eastAsia="zh-CN"/>
        </w:rPr>
        <w:t>一</w:t>
      </w:r>
      <w:r>
        <w:rPr>
          <w:rStyle w:val="17"/>
          <w:rFonts w:ascii="宋体" w:hAnsi="宋体"/>
          <w:kern w:val="0"/>
          <w:sz w:val="24"/>
        </w:rPr>
        <w:t>次会议　       　第</w:t>
      </w:r>
      <w:r>
        <w:rPr>
          <w:rStyle w:val="17"/>
          <w:rFonts w:hint="eastAsia" w:ascii="宋体" w:hAnsi="宋体"/>
          <w:kern w:val="0"/>
          <w:sz w:val="24"/>
          <w:lang w:val="en-US" w:eastAsia="zh-CN"/>
        </w:rPr>
        <w:t>012</w:t>
      </w:r>
      <w:r>
        <w:rPr>
          <w:rStyle w:val="17"/>
          <w:rFonts w:ascii="宋体" w:hAnsi="宋体"/>
          <w:kern w:val="0"/>
          <w:sz w:val="24"/>
        </w:rPr>
        <w:t xml:space="preserve">号　    </w:t>
      </w:r>
      <w:r>
        <w:rPr>
          <w:rStyle w:val="17"/>
          <w:rFonts w:hint="eastAsia" w:ascii="宋体" w:hAnsi="宋体"/>
          <w:kern w:val="0"/>
          <w:sz w:val="24"/>
        </w:rPr>
        <w:t xml:space="preserve">    </w:t>
      </w:r>
      <w:r>
        <w:rPr>
          <w:rStyle w:val="17"/>
          <w:rFonts w:hint="eastAsia" w:ascii="宋体" w:hAnsi="宋体"/>
          <w:kern w:val="0"/>
          <w:sz w:val="24"/>
          <w:lang w:val="en-US" w:eastAsia="zh-CN"/>
        </w:rPr>
        <w:t xml:space="preserve"> 类别：经济建设类     </w:t>
      </w:r>
    </w:p>
    <w:p>
      <w:pPr>
        <w:spacing w:line="320" w:lineRule="exact"/>
        <w:jc w:val="left"/>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3"/>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7"/>
                <w:rFonts w:ascii="宋体" w:hAnsi="宋体"/>
                <w:kern w:val="0"/>
                <w:sz w:val="24"/>
              </w:rPr>
            </w:pPr>
            <w:r>
              <w:rPr>
                <w:rStyle w:val="17"/>
                <w:rFonts w:ascii="黑体" w:hAnsi="宋体" w:eastAsia="黑体" w:cs="宋体"/>
                <w:b/>
                <w:bCs/>
                <w:kern w:val="0"/>
                <w:sz w:val="24"/>
              </w:rPr>
              <w:t>案</w:t>
            </w:r>
            <w:r>
              <w:rPr>
                <w:rStyle w:val="17"/>
                <w:rFonts w:ascii="宋体" w:hAnsi="宋体" w:eastAsia="黑体" w:cs="宋体"/>
                <w:b/>
                <w:bCs/>
                <w:kern w:val="0"/>
                <w:sz w:val="24"/>
              </w:rPr>
              <w:t>  </w:t>
            </w:r>
            <w:r>
              <w:rPr>
                <w:rStyle w:val="17"/>
                <w:rFonts w:ascii="黑体" w:hAnsi="宋体" w:eastAsia="黑体" w:cs="宋体"/>
                <w:b/>
                <w:bCs/>
                <w:kern w:val="0"/>
                <w:sz w:val="24"/>
              </w:rPr>
              <w:t>由</w:t>
            </w:r>
            <w:r>
              <w:rPr>
                <w:rStyle w:val="17"/>
                <w:rFonts w:ascii="宋体" w:hAnsi="宋体" w:cs="宋体"/>
                <w:b/>
                <w:bCs/>
                <w:kern w:val="0"/>
                <w:sz w:val="24"/>
              </w:rPr>
              <w:t>：</w:t>
            </w:r>
          </w:p>
        </w:tc>
        <w:tc>
          <w:tcPr>
            <w:tcW w:w="6797" w:type="dxa"/>
            <w:gridSpan w:val="3"/>
            <w:vAlign w:val="center"/>
          </w:tcPr>
          <w:p>
            <w:pPr>
              <w:jc w:val="left"/>
              <w:rPr>
                <w:rStyle w:val="17"/>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关于推动州中药材产业高质量发展的建议</w:t>
            </w:r>
          </w:p>
        </w:tc>
      </w:tr>
      <w:tr>
        <w:tblPrEx>
          <w:tblCellMar>
            <w:top w:w="0" w:type="dxa"/>
            <w:left w:w="15" w:type="dxa"/>
            <w:bottom w:w="0" w:type="dxa"/>
            <w:right w:w="15" w:type="dxa"/>
          </w:tblCellMar>
        </w:tblPrEx>
        <w:tc>
          <w:tcPr>
            <w:tcW w:w="1753" w:type="dxa"/>
            <w:vAlign w:val="center"/>
          </w:tcPr>
          <w:p>
            <w:pPr>
              <w:jc w:val="left"/>
              <w:rPr>
                <w:rStyle w:val="17"/>
                <w:rFonts w:ascii="宋体" w:hAnsi="宋体"/>
                <w:kern w:val="0"/>
                <w:sz w:val="24"/>
              </w:rPr>
            </w:pPr>
            <w:r>
              <w:rPr>
                <w:rStyle w:val="17"/>
                <w:rFonts w:ascii="黑体" w:hAnsi="宋体" w:eastAsia="黑体" w:cs="宋体"/>
                <w:b/>
                <w:bCs/>
                <w:kern w:val="0"/>
                <w:sz w:val="24"/>
              </w:rPr>
              <w:t>审查意见</w:t>
            </w:r>
            <w:r>
              <w:rPr>
                <w:rStyle w:val="17"/>
                <w:rFonts w:ascii="宋体" w:hAnsi="宋体" w:cs="宋体"/>
                <w:b/>
                <w:bCs/>
                <w:kern w:val="0"/>
                <w:sz w:val="24"/>
              </w:rPr>
              <w:t>：</w:t>
            </w:r>
          </w:p>
        </w:tc>
        <w:tc>
          <w:tcPr>
            <w:tcW w:w="6797" w:type="dxa"/>
            <w:gridSpan w:val="3"/>
            <w:vAlign w:val="center"/>
          </w:tcPr>
          <w:p>
            <w:pPr>
              <w:jc w:val="left"/>
              <w:rPr>
                <w:rStyle w:val="17"/>
                <w:rFonts w:hint="default" w:ascii="宋体" w:hAnsi="宋体"/>
                <w:kern w:val="0"/>
                <w:sz w:val="24"/>
                <w:lang w:val="en-US" w:eastAsia="zh-CN"/>
              </w:rPr>
            </w:pPr>
            <w:r>
              <w:rPr>
                <w:rStyle w:val="17"/>
                <w:rFonts w:hint="eastAsia" w:ascii="宋体" w:hAnsi="宋体"/>
                <w:kern w:val="0"/>
                <w:sz w:val="24"/>
                <w:szCs w:val="24"/>
                <w:lang w:eastAsia="zh-CN"/>
              </w:rPr>
              <w:t>主办：州农业农村局</w:t>
            </w:r>
            <w:r>
              <w:rPr>
                <w:rStyle w:val="17"/>
                <w:rFonts w:hint="eastAsia" w:ascii="宋体" w:hAnsi="宋体"/>
                <w:kern w:val="0"/>
                <w:sz w:val="24"/>
                <w:szCs w:val="24"/>
                <w:lang w:val="en-US" w:eastAsia="zh-CN"/>
              </w:rPr>
              <w:t xml:space="preserve">   会办：州投资促进局、州工信局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7"/>
                <w:rFonts w:ascii="黑体" w:hAnsi="宋体" w:eastAsia="黑体"/>
                <w:kern w:val="0"/>
                <w:sz w:val="24"/>
              </w:rPr>
            </w:pPr>
            <w:r>
              <w:rPr>
                <w:rStyle w:val="17"/>
                <w:rFonts w:ascii="黑体" w:hAnsi="宋体" w:eastAsia="黑体" w:cs="宋体"/>
                <w:b/>
                <w:bCs/>
                <w:kern w:val="0"/>
                <w:sz w:val="24"/>
              </w:rPr>
              <w:t>提</w:t>
            </w:r>
            <w:r>
              <w:rPr>
                <w:rStyle w:val="17"/>
                <w:rFonts w:hint="eastAsia" w:ascii="黑体" w:hAnsi="宋体" w:eastAsia="黑体" w:cs="宋体"/>
                <w:b/>
                <w:bCs/>
                <w:kern w:val="0"/>
                <w:sz w:val="24"/>
                <w:lang w:val="en-US" w:eastAsia="zh-CN"/>
              </w:rPr>
              <w:t xml:space="preserve"> </w:t>
            </w:r>
            <w:r>
              <w:rPr>
                <w:rStyle w:val="17"/>
                <w:rFonts w:ascii="黑体" w:hAnsi="宋体" w:eastAsia="黑体" w:cs="宋体"/>
                <w:b/>
                <w:bCs/>
                <w:kern w:val="0"/>
                <w:sz w:val="24"/>
              </w:rPr>
              <w:t>案</w:t>
            </w:r>
            <w:r>
              <w:rPr>
                <w:rStyle w:val="17"/>
                <w:rFonts w:hint="eastAsia" w:ascii="黑体" w:hAnsi="宋体" w:eastAsia="黑体" w:cs="宋体"/>
                <w:b/>
                <w:bCs/>
                <w:kern w:val="0"/>
                <w:sz w:val="24"/>
                <w:lang w:val="en-US" w:eastAsia="zh-CN"/>
              </w:rPr>
              <w:t xml:space="preserve"> </w:t>
            </w:r>
            <w:r>
              <w:rPr>
                <w:rStyle w:val="17"/>
                <w:rFonts w:ascii="黑体" w:hAnsi="宋体" w:eastAsia="黑体" w:cs="宋体"/>
                <w:b/>
                <w:bCs/>
                <w:kern w:val="0"/>
                <w:sz w:val="24"/>
              </w:rPr>
              <w:t>人</w:t>
            </w:r>
            <w:r>
              <w:rPr>
                <w:rStyle w:val="17"/>
                <w:rFonts w:ascii="宋体" w:hAnsi="宋体" w:eastAsia="黑体" w:cs="宋体"/>
                <w:b/>
                <w:bCs/>
                <w:kern w:val="0"/>
                <w:sz w:val="24"/>
              </w:rPr>
              <w:t>：</w:t>
            </w:r>
          </w:p>
        </w:tc>
        <w:tc>
          <w:tcPr>
            <w:tcW w:w="3872" w:type="dxa"/>
            <w:vAlign w:val="center"/>
          </w:tcPr>
          <w:p>
            <w:pPr>
              <w:jc w:val="left"/>
              <w:rPr>
                <w:rStyle w:val="17"/>
                <w:rFonts w:ascii="宋体" w:hAnsi="宋体"/>
                <w:kern w:val="0"/>
                <w:sz w:val="24"/>
              </w:rPr>
            </w:pPr>
            <w:r>
              <w:rPr>
                <w:rStyle w:val="17"/>
                <w:rFonts w:ascii="宋体" w:hAnsi="宋体" w:cs="宋体"/>
                <w:b/>
                <w:bCs/>
                <w:kern w:val="0"/>
                <w:sz w:val="24"/>
              </w:rPr>
              <w:t>通讯地址</w:t>
            </w:r>
          </w:p>
        </w:tc>
        <w:tc>
          <w:tcPr>
            <w:tcW w:w="1440" w:type="dxa"/>
            <w:vAlign w:val="center"/>
          </w:tcPr>
          <w:p>
            <w:pPr>
              <w:jc w:val="left"/>
              <w:rPr>
                <w:rStyle w:val="17"/>
                <w:rFonts w:ascii="宋体" w:hAnsi="宋体"/>
                <w:kern w:val="0"/>
                <w:sz w:val="24"/>
              </w:rPr>
            </w:pPr>
            <w:r>
              <w:rPr>
                <w:rStyle w:val="17"/>
                <w:rFonts w:ascii="宋体" w:hAnsi="宋体" w:cs="宋体"/>
                <w:b/>
                <w:bCs/>
                <w:kern w:val="0"/>
                <w:sz w:val="24"/>
              </w:rPr>
              <w:t>邮政编码</w:t>
            </w:r>
          </w:p>
        </w:tc>
        <w:tc>
          <w:tcPr>
            <w:tcW w:w="1485" w:type="dxa"/>
            <w:vAlign w:val="center"/>
          </w:tcPr>
          <w:p>
            <w:pPr>
              <w:jc w:val="left"/>
              <w:rPr>
                <w:rStyle w:val="17"/>
                <w:rFonts w:ascii="宋体" w:hAnsi="宋体"/>
                <w:kern w:val="0"/>
                <w:sz w:val="24"/>
              </w:rPr>
            </w:pPr>
            <w:r>
              <w:rPr>
                <w:rStyle w:val="17"/>
                <w:rFonts w:ascii="宋体" w:hAnsi="宋体" w:cs="宋体"/>
                <w:b/>
                <w:bCs/>
                <w:kern w:val="0"/>
                <w:sz w:val="24"/>
              </w:rPr>
              <w:t>联系电话</w:t>
            </w:r>
          </w:p>
        </w:tc>
      </w:tr>
      <w:tr>
        <w:tc>
          <w:tcPr>
            <w:tcW w:w="1753" w:type="dxa"/>
            <w:vAlign w:val="center"/>
          </w:tcPr>
          <w:p>
            <w:pPr>
              <w:jc w:val="left"/>
              <w:rPr>
                <w:rStyle w:val="17"/>
                <w:rFonts w:hint="eastAsia" w:ascii="宋体" w:hAnsi="宋体" w:eastAsia="宋体"/>
                <w:kern w:val="0"/>
                <w:sz w:val="24"/>
                <w:lang w:eastAsia="zh-CN"/>
              </w:rPr>
            </w:pPr>
            <w:r>
              <w:rPr>
                <w:rStyle w:val="17"/>
                <w:rFonts w:hint="eastAsia" w:ascii="宋体" w:hAnsi="宋体"/>
                <w:kern w:val="0"/>
                <w:sz w:val="21"/>
                <w:szCs w:val="21"/>
                <w:lang w:eastAsia="zh-CN"/>
              </w:rPr>
              <w:t>农工党黔东南州工委</w:t>
            </w:r>
          </w:p>
        </w:tc>
        <w:tc>
          <w:tcPr>
            <w:tcW w:w="3872"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lang w:val="en-US" w:eastAsia="zh-CN"/>
              </w:rPr>
              <w:t>农工党黔东南州工委</w:t>
            </w:r>
          </w:p>
        </w:tc>
        <w:tc>
          <w:tcPr>
            <w:tcW w:w="1440"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rPr>
              <w:t>55</w:t>
            </w:r>
            <w:r>
              <w:rPr>
                <w:rStyle w:val="17"/>
                <w:rFonts w:hint="eastAsia" w:ascii="宋体" w:hAnsi="宋体"/>
                <w:kern w:val="0"/>
                <w:sz w:val="24"/>
                <w:lang w:val="en-US" w:eastAsia="zh-CN"/>
              </w:rPr>
              <w:t>6000</w:t>
            </w:r>
          </w:p>
        </w:tc>
        <w:tc>
          <w:tcPr>
            <w:tcW w:w="1485"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lang w:val="en-US" w:eastAsia="zh-CN"/>
              </w:rPr>
              <w:t>13765529333</w:t>
            </w:r>
          </w:p>
        </w:tc>
      </w:tr>
      <w:tr>
        <w:tblPrEx>
          <w:tblCellMar>
            <w:top w:w="0" w:type="dxa"/>
            <w:left w:w="15" w:type="dxa"/>
            <w:bottom w:w="0" w:type="dxa"/>
            <w:right w:w="15" w:type="dxa"/>
          </w:tblCellMar>
        </w:tblPrEx>
        <w:tc>
          <w:tcPr>
            <w:tcW w:w="1753" w:type="dxa"/>
            <w:vAlign w:val="center"/>
          </w:tcPr>
          <w:p>
            <w:pPr>
              <w:jc w:val="left"/>
              <w:rPr>
                <w:rStyle w:val="17"/>
                <w:rFonts w:hint="eastAsia" w:ascii="宋体" w:hAnsi="宋体" w:eastAsia="宋体"/>
                <w:kern w:val="0"/>
                <w:sz w:val="24"/>
                <w:lang w:eastAsia="zh-CN"/>
              </w:rPr>
            </w:pPr>
            <w:r>
              <w:rPr>
                <w:rStyle w:val="17"/>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7"/>
                <w:rFonts w:hint="eastAsia" w:ascii="宋体" w:hAnsi="宋体"/>
                <w:kern w:val="0"/>
                <w:sz w:val="24"/>
                <w:lang w:val="en-US" w:eastAsia="zh-CN"/>
              </w:rPr>
            </w:pPr>
            <w:r>
              <w:rPr>
                <w:rStyle w:val="17"/>
                <w:rFonts w:hint="eastAsia" w:ascii="宋体" w:hAnsi="宋体"/>
                <w:kern w:val="0"/>
                <w:sz w:val="24"/>
                <w:lang w:eastAsia="zh-CN"/>
              </w:rPr>
              <w:t>州委办秘书五科：</w:t>
            </w:r>
            <w:r>
              <w:rPr>
                <w:rStyle w:val="17"/>
                <w:rFonts w:hint="eastAsia" w:ascii="宋体" w:hAnsi="宋体"/>
                <w:kern w:val="0"/>
                <w:sz w:val="24"/>
                <w:lang w:val="en-US" w:eastAsia="zh-CN"/>
              </w:rPr>
              <w:t>8270060；</w:t>
            </w:r>
            <w:r>
              <w:rPr>
                <w:rStyle w:val="17"/>
                <w:rFonts w:hint="eastAsia" w:ascii="宋体" w:hAnsi="宋体"/>
                <w:kern w:val="0"/>
                <w:sz w:val="24"/>
                <w:lang w:eastAsia="zh-CN"/>
              </w:rPr>
              <w:t>州政府办建议提案科：</w:t>
            </w:r>
            <w:r>
              <w:rPr>
                <w:rStyle w:val="17"/>
                <w:rFonts w:hint="eastAsia" w:ascii="宋体" w:hAnsi="宋体"/>
                <w:kern w:val="0"/>
                <w:sz w:val="24"/>
                <w:lang w:val="en-US" w:eastAsia="zh-CN"/>
              </w:rPr>
              <w:t>8260016；</w:t>
            </w:r>
          </w:p>
          <w:p>
            <w:pPr>
              <w:jc w:val="left"/>
              <w:rPr>
                <w:rStyle w:val="17"/>
                <w:rFonts w:hint="default" w:ascii="宋体" w:hAnsi="宋体"/>
                <w:kern w:val="0"/>
                <w:sz w:val="24"/>
                <w:lang w:val="en-US"/>
              </w:rPr>
            </w:pPr>
            <w:r>
              <w:rPr>
                <w:rStyle w:val="17"/>
                <w:rFonts w:hint="eastAsia" w:ascii="宋体" w:hAnsi="宋体"/>
                <w:kern w:val="0"/>
                <w:sz w:val="24"/>
                <w:lang w:eastAsia="zh-CN"/>
              </w:rPr>
              <w:t>州政协提案委：</w:t>
            </w:r>
            <w:r>
              <w:rPr>
                <w:rStyle w:val="17"/>
                <w:rFonts w:hint="eastAsia" w:ascii="宋体" w:hAnsi="宋体"/>
                <w:kern w:val="0"/>
                <w:sz w:val="24"/>
                <w:lang w:val="en-US" w:eastAsia="zh-CN"/>
              </w:rPr>
              <w:t>8428866</w:t>
            </w:r>
            <w:r>
              <w:rPr>
                <w:rStyle w:val="17"/>
                <w:rFonts w:hint="eastAsia" w:ascii="宋体" w:hAnsi="宋体"/>
                <w:kern w:val="0"/>
                <w:sz w:val="24"/>
                <w:lang w:eastAsia="zh-CN"/>
              </w:rPr>
              <w:t>。</w:t>
            </w:r>
          </w:p>
        </w:tc>
      </w:tr>
    </w:tbl>
    <w:p>
      <w:pPr>
        <w:jc w:val="left"/>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7"/>
          <w:rFonts w:hint="eastAsia" w:ascii="仿宋_GB2312" w:hAnsi="宋体" w:eastAsia="仿宋_GB2312"/>
          <w:kern w:val="0"/>
          <w:sz w:val="32"/>
          <w:szCs w:val="32"/>
        </w:rPr>
      </w:pPr>
      <w:r>
        <w:rPr>
          <w:rStyle w:val="17"/>
          <w:rFonts w:hint="eastAsia" w:ascii="仿宋_GB2312" w:hAnsi="宋体" w:eastAsia="仿宋_GB2312"/>
          <w:kern w:val="0"/>
          <w:sz w:val="32"/>
          <w:szCs w:val="32"/>
        </w:rPr>
        <w:t>内容和办法</w:t>
      </w:r>
      <w:r>
        <w:rPr>
          <w:rStyle w:val="17"/>
          <w:rFonts w:hint="eastAsia" w:ascii="仿宋_GB2312" w:hAnsi="宋体" w:eastAsia="仿宋_GB2312"/>
          <w:kern w:val="0"/>
          <w:sz w:val="32"/>
          <w:szCs w:val="32"/>
          <w:lang w:eastAsia="zh-CN"/>
        </w:rPr>
        <w:t>：</w:t>
      </w:r>
    </w:p>
    <w:p>
      <w:pPr>
        <w:spacing w:line="560" w:lineRule="exact"/>
        <w:ind w:left="0" w:leftChars="0" w:firstLine="640" w:firstLineChars="200"/>
        <w:rPr>
          <w:rStyle w:val="17"/>
          <w:rFonts w:hint="eastAsia" w:ascii="方正黑体_GBK" w:hAnsi="方正黑体_GBK" w:eastAsia="方正黑体_GBK" w:cs="方正黑体_GBK"/>
          <w:kern w:val="0"/>
          <w:sz w:val="32"/>
          <w:szCs w:val="32"/>
        </w:rPr>
      </w:pPr>
      <w:r>
        <w:rPr>
          <w:rStyle w:val="17"/>
          <w:rFonts w:hint="eastAsia" w:ascii="方正黑体_GBK" w:hAnsi="方正黑体_GBK" w:eastAsia="方正黑体_GBK" w:cs="方正黑体_GBK"/>
          <w:kern w:val="0"/>
          <w:sz w:val="32"/>
          <w:szCs w:val="32"/>
          <w:lang w:eastAsia="zh-CN"/>
        </w:rPr>
        <w:t>一、</w:t>
      </w:r>
      <w:r>
        <w:rPr>
          <w:rStyle w:val="17"/>
          <w:rFonts w:hint="eastAsia" w:ascii="方正黑体_GBK" w:hAnsi="方正黑体_GBK" w:eastAsia="方正黑体_GBK" w:cs="方正黑体_GBK"/>
          <w:kern w:val="0"/>
          <w:sz w:val="32"/>
          <w:szCs w:val="32"/>
        </w:rPr>
        <w:t>黔东南州中药材产业发展概况</w:t>
      </w:r>
    </w:p>
    <w:p>
      <w:pPr>
        <w:spacing w:line="560" w:lineRule="exact"/>
        <w:ind w:left="0" w:leftChars="0" w:firstLine="640" w:firstLineChars="200"/>
        <w:rPr>
          <w:rStyle w:val="17"/>
          <w:rFonts w:hint="eastAsia" w:ascii="仿宋_GB2312" w:hAnsi="宋体" w:eastAsia="仿宋_GB2312"/>
          <w:kern w:val="0"/>
          <w:sz w:val="32"/>
          <w:szCs w:val="32"/>
        </w:rPr>
      </w:pPr>
      <w:r>
        <w:rPr>
          <w:rStyle w:val="17"/>
          <w:rFonts w:hint="eastAsia" w:ascii="仿宋_GB2312" w:hAnsi="宋体" w:eastAsia="仿宋_GB2312"/>
          <w:kern w:val="0"/>
          <w:sz w:val="32"/>
          <w:szCs w:val="32"/>
        </w:rPr>
        <w:t>黔东南州是贵州中药材主产区，素有“中国的药园在贵州，贵州药园在黔东南”之说。目前全州已查明中药资源共有2831种，其中药用植物2656种，动物药154种，矿物药21种。药用植物种类分别占全国、全省药用植物种类的23.8%和67.7%。全州中药材总蕴藏量达1080万吨，藏量占全省的59.2%，是全省和全国地道药材主产区，被誉为“天然药库”。我州的茯苓、何首乌、天麻、桔梗、前胡等几十味地道药材一直闻名省内外，道地药材的种类位居全省之冠。</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（一）种植规模逐步扩大，产业带初步形成</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lang w:eastAsia="zh-CN"/>
        </w:rPr>
        <w:t>至</w:t>
      </w:r>
      <w:r>
        <w:rPr>
          <w:rStyle w:val="17"/>
          <w:rFonts w:hint="eastAsia" w:ascii="仿宋_GB2312" w:hAnsi="宋体" w:eastAsia="仿宋_GB2312"/>
          <w:kern w:val="0"/>
          <w:sz w:val="32"/>
          <w:szCs w:val="32"/>
        </w:rPr>
        <w:t>2021年10月底，全州中药材种植面积完成122.89万亩，同比增长15.17%；鲜品总产量31.80万吨，同比增长69.07%；综合总产值48亿元。其中重点品种钩藤41.71万亩、太子参19.70万亩、天麻6.70万亩、黄精6.57万亩、草珊瑚6.39万亩、茯苓3.56万亩、铁皮石斛3.05万亩，白及2.86万亩。目前基本形成了以剑河、锦屏、黎平、从江为中心的钩藤产业带，以施秉、黄平为中心的太子参产业带，以黎平、剑河为中心的茯苓产业带，以黄平、三穗、天柱为中心的白及产业带，以雷山、黎平、镇远为中心的天麻产业带，以岑巩为中心的黄精产业带，以榕江为中心的草珊瑚产业带，以锦屏、从江、三穗为中心的铁皮石斛产业带。</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（二）繁育基地数量增加，良种繁育能力提升</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全州围绕种子种苗基地建设，发展基地76个，可推广种植面积25.51万亩。重点建设有丹寨县西南地区药用植物种苗繁育国家地方联合工程研究中心、黄平县珍稀药用植物良种繁育中心、锦屏县铁皮石斛种苗繁育基地、从江县箭叶淫羊藿标准化种子种苗繁育基地等良种繁育中心（基地），种苗繁育能力、优良种子种苗供应能力得到了提升。</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（三）种植模式不断创新，基地向规模化发展</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通过大力发展林下中药材种植，发展林药、果药种植模式，充分利用了我州丰富的林地资源，解决了我州耕地不足、各个产业发展相互争地的问题。同时，基地由过去一家一户的分散种植向规模化发展。建成100亩以上相对集中连片基地（含林下生态种植基地）598个，总面积达42.61万亩，规模化基地占总面积的34.67%。</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（四）经营主体数量增加，产业化水平不断提升</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一方面培育一批龙头企业、专业合作社、家庭农场、种植大户、经纪人等新型经营主体，创新利益联接机制。目前，全州参与中药材种植生产经营企业158家，合作社、家庭农场等经营主体447个。另一方面紧紧围绕产业建链、补链、延链要求开展招商引资，引进黄平县中药材生产加工及交易市场项目、锦屏县石斛加工、黎平县中药材加工项目等中药材产业项目。建成了产地加工基地（点）51家，年总加工干品能力3.92万吨。</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（五）种植技术不断提高，品牌影响逐渐提升</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 xml:space="preserve">一是在“黔太子参1号”“施太1号”的基础上。利用我州特色资源，围绕“优质、高抗、高产”的育种目标，联合选育的“贵参1号”、“贵钩1号”、“锦斛1号”通过贵州省2021年第一批中药材新品种认定。从“源头”上保证药材的品质和质量。二是牵头制定的《太子参种子种根》和《太子参种植技术规范》通过国家标准化管理委员会评审成为国家标准。编制的《地理标志产品 黎平茯苓种植技术规程》等多项贵州省地方标准、黔东南州地方标准通过发布实施，药材种植有了标准作为依据。三是全力开展产品认证，积极推进道地药材品牌建设。施秉太子参、施秉头花蓼、剑河钩藤、雷山乌杆天麻、黎平茯苓、榕江葛根、黄平白及先后获得国家地理标志认证；镇远天麻品种获得国家生态原产地认证。 </w:t>
      </w:r>
    </w:p>
    <w:p>
      <w:pPr>
        <w:spacing w:line="560" w:lineRule="exact"/>
        <w:ind w:left="0" w:leftChars="0" w:firstLine="640" w:firstLineChars="200"/>
        <w:rPr>
          <w:rStyle w:val="17"/>
          <w:rFonts w:hint="eastAsia" w:ascii="方正黑体_GBK" w:hAnsi="方正黑体_GBK" w:eastAsia="方正黑体_GBK" w:cs="方正黑体_GBK"/>
          <w:kern w:val="0"/>
          <w:sz w:val="32"/>
          <w:szCs w:val="32"/>
        </w:rPr>
      </w:pPr>
      <w:r>
        <w:rPr>
          <w:rStyle w:val="17"/>
          <w:rFonts w:hint="eastAsia" w:ascii="方正黑体_GBK" w:hAnsi="方正黑体_GBK" w:eastAsia="方正黑体_GBK" w:cs="方正黑体_GBK"/>
          <w:kern w:val="0"/>
          <w:sz w:val="32"/>
          <w:szCs w:val="32"/>
        </w:rPr>
        <w:t>二、存在的困难和主要问题</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（一）原有品种出现种源退化，新发展的品种比较杂乱</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一是品种退化主要表现在当前种植的太子参，由于多年来种植户自行留种，导致品种种源退化、病害发生严重，大大影响太子参产量和品质，目前已选育了3个优良品种，但由于种苗繁育成本高，种苗价格偏高种植户难以接受，很难扩大推广面积。二是新发展品种比较杂乱，主要表现在当前种植的黄精品种，我州现在种植的黄精品种就有三种，滇黄精、多花黄精、甜黄精。其中的甜黄精未被《中国药典》收录，存在市场风险。</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（二）产业基础薄弱，栽培技术有待提高</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我州种植的药材品种较多，但目前只有太子参、钩藤、天麻、茯苓、铁皮石斛、三叶木通等品种种苗繁育和种植技术规程，很多品种没有固定的种植技术规程，种植企业、种植户只能摸索种植。针对中药材病虫害绿色防控方面的研究不足，中药材病虫害防治还是采用传统的、单一的化学防治的方法，中药材中有害元素、农药残留存在超标风险。</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（三）基础设施不配套，制约产业基地的发展</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我州主要以山区为主，中药材种植大多分布于高、远、僻等山区。这些地方普遍存在路、电、水等基础设施不完善、不配套的问题，制约基地的规模化、规范化建设，中药材种植管理、采收劳动成本和运输成本较高，从而影响基地生产及效益的发挥。</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（四）缺少中药材加工，产品附加值不高</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中药材种植面积的快速发展，中药材加工能力无法匹配，且中药材加工的龙头企业比较少，部分中药材品种以销售鲜品为主，</w:t>
      </w:r>
      <w:r>
        <w:rPr>
          <w:rStyle w:val="17"/>
          <w:rFonts w:hint="eastAsia" w:ascii="仿宋_GB2312" w:hAnsi="宋体" w:eastAsia="仿宋_GB2312"/>
          <w:kern w:val="0"/>
          <w:sz w:val="32"/>
          <w:szCs w:val="32"/>
          <w:lang w:eastAsia="zh-CN"/>
        </w:rPr>
        <w:t>收益较低</w:t>
      </w:r>
      <w:r>
        <w:rPr>
          <w:rStyle w:val="17"/>
          <w:rFonts w:hint="eastAsia" w:ascii="仿宋_GB2312" w:hAnsi="宋体" w:eastAsia="仿宋_GB2312"/>
          <w:kern w:val="0"/>
          <w:sz w:val="32"/>
          <w:szCs w:val="32"/>
        </w:rPr>
        <w:t>，制约</w:t>
      </w:r>
      <w:r>
        <w:rPr>
          <w:rStyle w:val="17"/>
          <w:rFonts w:hint="eastAsia" w:ascii="仿宋_GB2312" w:hAnsi="宋体" w:eastAsia="仿宋_GB2312"/>
          <w:kern w:val="0"/>
          <w:sz w:val="32"/>
          <w:szCs w:val="32"/>
          <w:lang w:eastAsia="zh-CN"/>
        </w:rPr>
        <w:t>了</w:t>
      </w:r>
      <w:r>
        <w:rPr>
          <w:rStyle w:val="17"/>
          <w:rFonts w:hint="eastAsia" w:ascii="仿宋_GB2312" w:hAnsi="宋体" w:eastAsia="仿宋_GB2312"/>
          <w:kern w:val="0"/>
          <w:sz w:val="32"/>
          <w:szCs w:val="32"/>
        </w:rPr>
        <w:t>产业的快速发展。</w:t>
      </w:r>
    </w:p>
    <w:p>
      <w:pPr>
        <w:spacing w:line="560" w:lineRule="exact"/>
        <w:ind w:left="0" w:leftChars="0" w:firstLine="640" w:firstLineChars="200"/>
        <w:rPr>
          <w:rStyle w:val="17"/>
          <w:rFonts w:hint="eastAsia" w:ascii="方正黑体_GBK" w:hAnsi="方正黑体_GBK" w:eastAsia="方正黑体_GBK" w:cs="方正黑体_GBK"/>
          <w:kern w:val="0"/>
          <w:sz w:val="32"/>
          <w:szCs w:val="32"/>
        </w:rPr>
      </w:pPr>
      <w:r>
        <w:rPr>
          <w:rStyle w:val="17"/>
          <w:rFonts w:hint="eastAsia" w:ascii="方正黑体_GBK" w:hAnsi="方正黑体_GBK" w:eastAsia="方正黑体_GBK" w:cs="方正黑体_GBK"/>
          <w:kern w:val="0"/>
          <w:sz w:val="32"/>
          <w:szCs w:val="32"/>
        </w:rPr>
        <w:t>三、对策与建议</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（一）优化产业结构，实行跨区域发展</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一是在原有8个重点品种的基础上，近一步优化品种，打造太子参、天麻、钩藤、铁皮石斛、黄精、淫羊藿6个跨区域发展。二是围绕太子参、天麻、钩藤、铁皮石斛、黄精、白及6个打造产业带,聚焦“一县一业”“多县一带”跨行政区域发展布局，通过种植产业带辐射带动全州各县市发展优势中药材品种种植。</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（二）强化技术培训，提升种子（苗）供应能力</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一是开展新品种引进试验示范和绿色高效栽培等基础性研究，抓好新技术、新品种的储备。强化产业培训，增强种植基地管护水平,确保基地的提质增效。二是加强我州大宗药材、道地药材品种的提纯复壮、优良品种选育和推广工作，加强种苗基地建设，在每个产业县，结合产业需要建设200亩以上的种苗繁育基地，确保优质种苗的供应能力。</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（三）推进一批规模化标准化生产基地建设</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一是聚焦天麻、石斛、太子参、黄精、白及、钩藤等重点品种。以“道地、绿色、生态”为核心，打造一批规模化产业化基地，推动优势单品种连片发展。二是将我州已纳入国家药食同源目录品种与市场需求大的中药材作为主攻方向，提质增效，推进一批标准化基地建设，提高品牌和价值效应，掌握单品价格话语权。</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（四）加强产地加工，推进产销对接</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一是积极引导全州中药材企业、合作社在各重点品种产业区和中药材种植相对连片的地区开展产地加工（趁鲜切制），促进药材产地加工的集聚发展和规范发展。重点抓好雷山、镇远、黎平天麻产地初加工建设。二是谋划中药材精深加工，协调推进锦屏县铁皮石斛精深加工基地建，使我州中药材产业生产、加工上一个台阶，进一步推进中药材一二三产业的融合发展。三是充分利用黄平县一碗水中药材产地交易市场，搭建市场信息平台，持续开展“定制药园”基地打造，推进产销对接。</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（五）加大产业招商引资力度</w:t>
      </w:r>
      <w:r>
        <w:rPr>
          <w:rStyle w:val="17"/>
          <w:rFonts w:hint="eastAsia" w:ascii="仿宋_GB2312" w:hAnsi="宋体" w:eastAsia="仿宋_GB2312"/>
          <w:b/>
          <w:bCs/>
          <w:kern w:val="0"/>
          <w:sz w:val="32"/>
          <w:szCs w:val="32"/>
          <w:lang w:eastAsia="zh-CN"/>
        </w:rPr>
        <w:t>。</w:t>
      </w:r>
      <w:r>
        <w:rPr>
          <w:rStyle w:val="17"/>
          <w:rFonts w:hint="eastAsia" w:ascii="仿宋_GB2312" w:hAnsi="宋体" w:eastAsia="仿宋_GB2312"/>
          <w:kern w:val="0"/>
          <w:sz w:val="32"/>
          <w:szCs w:val="32"/>
        </w:rPr>
        <w:t>一是按照产业发展规划，寻找全国龙头企业招引入驻我州，确保资源配置到位，确保产业发展可持续。二是积极开展招商引资推介工作，配合制定产业招商引资政策，明确政策支持相关事项，确保企业招得来、发展好。三是加强龙头企业跟踪服务到位。</w:t>
      </w:r>
    </w:p>
    <w:p>
      <w:pPr>
        <w:spacing w:line="560" w:lineRule="exact"/>
        <w:ind w:left="0" w:leftChars="0" w:firstLine="640" w:firstLineChars="200"/>
        <w:rPr>
          <w:rStyle w:val="17"/>
          <w:rFonts w:hint="eastAsia" w:ascii="仿宋_GB2312" w:hAnsi="宋体" w:eastAsia="仿宋_GB2312"/>
          <w:kern w:val="0"/>
          <w:sz w:val="32"/>
          <w:szCs w:val="32"/>
          <w:lang w:val="en-US" w:eastAsia="zh-CN"/>
        </w:rPr>
      </w:pPr>
      <w:r>
        <w:rPr>
          <w:rStyle w:val="17"/>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7"/>
          <w:rFonts w:hint="default" w:ascii="仿宋_GB2312" w:hAnsi="宋体" w:eastAsia="仿宋_GB2312"/>
          <w:kern w:val="0"/>
          <w:sz w:val="32"/>
          <w:szCs w:val="32"/>
          <w:lang w:val="en-US" w:eastAsia="zh-CN"/>
        </w:rPr>
      </w:pPr>
      <w:r>
        <w:rPr>
          <w:rStyle w:val="17"/>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5"/>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5986B93"/>
    <w:rsid w:val="18EC1E64"/>
    <w:rsid w:val="1BAB45FA"/>
    <w:rsid w:val="20E366FE"/>
    <w:rsid w:val="21EA0B57"/>
    <w:rsid w:val="29EB237C"/>
    <w:rsid w:val="2FD84B80"/>
    <w:rsid w:val="30B878C9"/>
    <w:rsid w:val="33552650"/>
    <w:rsid w:val="377737A4"/>
    <w:rsid w:val="38D60616"/>
    <w:rsid w:val="3A7B4D73"/>
    <w:rsid w:val="3BE7499D"/>
    <w:rsid w:val="3F1A5C90"/>
    <w:rsid w:val="42F10C9F"/>
    <w:rsid w:val="493508EE"/>
    <w:rsid w:val="497C7186"/>
    <w:rsid w:val="4A196944"/>
    <w:rsid w:val="4F1E6C2C"/>
    <w:rsid w:val="4F6B5D70"/>
    <w:rsid w:val="507F065A"/>
    <w:rsid w:val="5236789E"/>
    <w:rsid w:val="559F1A55"/>
    <w:rsid w:val="5A7C34BF"/>
    <w:rsid w:val="5AA17385"/>
    <w:rsid w:val="5B7C24C8"/>
    <w:rsid w:val="5E7C7E34"/>
    <w:rsid w:val="5F4D0DF6"/>
    <w:rsid w:val="61895CCF"/>
    <w:rsid w:val="66F35DD9"/>
    <w:rsid w:val="6854075C"/>
    <w:rsid w:val="69A37ABB"/>
    <w:rsid w:val="762A4BFD"/>
    <w:rsid w:val="7C1F064D"/>
    <w:rsid w:val="7DBB9FDA"/>
    <w:rsid w:val="7FE0122B"/>
    <w:rsid w:val="7FFF2EBA"/>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880" w:firstLineChars="200"/>
    </w:pPr>
    <w:rPr>
      <w:rFonts w:eastAsia="仿宋_GB2312"/>
    </w:rPr>
  </w:style>
  <w:style w:type="paragraph" w:styleId="3">
    <w:name w:val="Body Text Indent"/>
    <w:basedOn w:val="1"/>
    <w:next w:val="4"/>
    <w:qFormat/>
    <w:uiPriority w:val="99"/>
    <w:pPr>
      <w:spacing w:after="120"/>
      <w:ind w:left="420" w:leftChars="200"/>
    </w:pPr>
  </w:style>
  <w:style w:type="paragraph" w:styleId="4">
    <w:name w:val="Body Text"/>
    <w:basedOn w:val="1"/>
    <w:next w:val="5"/>
    <w:qFormat/>
    <w:uiPriority w:val="99"/>
    <w:pPr>
      <w:spacing w:afterAutospacing="1"/>
      <w:ind w:left="101"/>
    </w:pPr>
    <w:rPr>
      <w:rFonts w:ascii="宋体" w:hAnsi="宋体"/>
      <w:sz w:val="29"/>
      <w:szCs w:val="29"/>
    </w:rPr>
  </w:style>
  <w:style w:type="paragraph" w:styleId="6">
    <w:name w:val="table of authorities"/>
    <w:basedOn w:val="1"/>
    <w:next w:val="1"/>
    <w:qFormat/>
    <w:uiPriority w:val="0"/>
    <w:pPr>
      <w:ind w:left="420" w:leftChars="200"/>
    </w:pPr>
    <w:rPr>
      <w:szCs w:val="20"/>
    </w:r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7"/>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character" w:styleId="15">
    <w:name w:val="Strong"/>
    <w:qFormat/>
    <w:uiPriority w:val="0"/>
    <w:rPr>
      <w:rFonts w:cs="Times New Roman"/>
      <w:b/>
      <w:bCs/>
    </w:rPr>
  </w:style>
  <w:style w:type="character" w:styleId="16">
    <w:name w:val="Hyperlink"/>
    <w:basedOn w:val="17"/>
    <w:semiHidden/>
    <w:qFormat/>
    <w:uiPriority w:val="0"/>
    <w:rPr>
      <w:color w:val="0000FF"/>
      <w:u w:val="single"/>
    </w:rPr>
  </w:style>
  <w:style w:type="character" w:customStyle="1" w:styleId="17">
    <w:name w:val="NormalCharacter"/>
    <w:semiHidden/>
    <w:qFormat/>
    <w:uiPriority w:val="0"/>
  </w:style>
  <w:style w:type="paragraph" w:customStyle="1" w:styleId="18">
    <w:name w:val="Heading1"/>
    <w:basedOn w:val="1"/>
    <w:link w:val="24"/>
    <w:qFormat/>
    <w:uiPriority w:val="0"/>
    <w:pPr>
      <w:spacing w:before="100" w:beforeAutospacing="1" w:after="100" w:afterAutospacing="1"/>
      <w:jc w:val="left"/>
    </w:pPr>
    <w:rPr>
      <w:rFonts w:ascii="宋体" w:hAnsi="宋体" w:cs="宋体"/>
      <w:b/>
      <w:bCs/>
      <w:kern w:val="36"/>
      <w:sz w:val="48"/>
      <w:szCs w:val="48"/>
    </w:rPr>
  </w:style>
  <w:style w:type="table" w:customStyle="1" w:styleId="19">
    <w:name w:val="TableNormal"/>
    <w:semiHidden/>
    <w:qFormat/>
    <w:uiPriority w:val="0"/>
    <w:tblPr>
      <w:tblCellMar>
        <w:top w:w="0" w:type="dxa"/>
        <w:left w:w="0" w:type="dxa"/>
        <w:bottom w:w="0" w:type="dxa"/>
        <w:right w:w="0" w:type="dxa"/>
      </w:tblCellMar>
    </w:tblPr>
  </w:style>
  <w:style w:type="paragraph" w:customStyle="1" w:styleId="20">
    <w:name w:val="Acetate"/>
    <w:basedOn w:val="1"/>
    <w:qFormat/>
    <w:uiPriority w:val="0"/>
    <w:rPr>
      <w:sz w:val="18"/>
      <w:szCs w:val="18"/>
    </w:rPr>
  </w:style>
  <w:style w:type="paragraph" w:customStyle="1" w:styleId="21">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2">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3">
    <w:name w:val="UserStyle_2"/>
    <w:basedOn w:val="1"/>
    <w:qFormat/>
    <w:uiPriority w:val="0"/>
    <w:pPr>
      <w:spacing w:before="100" w:beforeAutospacing="1" w:after="100" w:afterAutospacing="1"/>
      <w:jc w:val="left"/>
    </w:pPr>
    <w:rPr>
      <w:rFonts w:ascii="宋体" w:hAnsi="宋体"/>
      <w:kern w:val="0"/>
      <w:sz w:val="24"/>
    </w:rPr>
  </w:style>
  <w:style w:type="character" w:customStyle="1" w:styleId="24">
    <w:name w:val="UserStyle_3"/>
    <w:basedOn w:val="17"/>
    <w:link w:val="18"/>
    <w:qFormat/>
    <w:uiPriority w:val="0"/>
    <w:rPr>
      <w:rFonts w:ascii="宋体" w:hAnsi="宋体" w:cs="宋体"/>
      <w:b/>
      <w:bCs/>
      <w:kern w:val="36"/>
      <w:sz w:val="48"/>
      <w:szCs w:val="48"/>
    </w:rPr>
  </w:style>
  <w:style w:type="character" w:customStyle="1" w:styleId="25">
    <w:name w:val="UserStyle_4"/>
    <w:basedOn w:val="17"/>
    <w:qFormat/>
    <w:uiPriority w:val="0"/>
  </w:style>
  <w:style w:type="paragraph" w:customStyle="1" w:styleId="26">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7">
    <w:name w:val="页脚 Char"/>
    <w:basedOn w:val="14"/>
    <w:link w:val="9"/>
    <w:qFormat/>
    <w:uiPriority w:val="99"/>
    <w:rPr>
      <w:rFonts w:cstheme="minorBidi"/>
      <w:kern w:val="2"/>
      <w:sz w:val="18"/>
      <w:szCs w:val="18"/>
    </w:rPr>
  </w:style>
  <w:style w:type="paragraph" w:customStyle="1" w:styleId="28">
    <w:name w:val="正文-公1"/>
    <w:basedOn w:val="1"/>
    <w:qFormat/>
    <w:uiPriority w:val="99"/>
    <w:pPr>
      <w:ind w:firstLine="200" w:firstLineChars="200"/>
    </w:pPr>
    <w:rPr>
      <w:rFonts w:ascii="Calibri" w:hAnsi="Calibri"/>
    </w:rPr>
  </w:style>
  <w:style w:type="paragraph" w:customStyle="1" w:styleId="29">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0">
    <w:name w:val="正文文本首行缩进 2"/>
    <w:basedOn w:val="3"/>
    <w:qFormat/>
    <w:uiPriority w:val="0"/>
    <w:pPr>
      <w:ind w:firstLine="420" w:firstLineChars="200"/>
    </w:pPr>
    <w:rPr>
      <w:rFonts w:ascii="Calibri" w:hAnsi="Calibri" w:eastAsia="宋体" w:cs="宋体"/>
    </w:rPr>
  </w:style>
  <w:style w:type="paragraph" w:customStyle="1" w:styleId="31">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3103</Words>
  <Characters>3253</Characters>
  <Lines>14</Lines>
  <Paragraphs>4</Paragraphs>
  <TotalTime>4</TotalTime>
  <ScaleCrop>false</ScaleCrop>
  <LinksUpToDate>false</LinksUpToDate>
  <CharactersWithSpaces>3289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2021-02-26T10:55:00Z</cp:lastPrinted>
  <dcterms:modified xsi:type="dcterms:W3CDTF">2022-03-29T03:11:17Z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