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0" w:beforeAutospacing="0" w:after="0" w:afterAutospacing="0" w:line="600" w:lineRule="exact"/>
        <w:jc w:val="center"/>
        <w:rPr>
          <w:rStyle w:val="19"/>
          <w:rFonts w:ascii="黑体" w:eastAsia="黑体"/>
          <w:sz w:val="44"/>
          <w:szCs w:val="44"/>
        </w:rPr>
      </w:pPr>
      <w:r>
        <w:rPr>
          <w:rStyle w:val="17"/>
          <w:rFonts w:ascii="黑体" w:eastAsia="黑体" w:cs="宋体"/>
          <w:sz w:val="44"/>
          <w:szCs w:val="44"/>
        </w:rPr>
        <w:t>中国人民政治协商会议</w:t>
      </w:r>
    </w:p>
    <w:p>
      <w:pPr>
        <w:pStyle w:val="23"/>
        <w:spacing w:before="0" w:beforeAutospacing="0" w:after="0" w:afterAutospacing="0" w:line="600" w:lineRule="exact"/>
        <w:jc w:val="center"/>
        <w:rPr>
          <w:rStyle w:val="19"/>
          <w:rFonts w:hint="eastAsia"/>
          <w:sz w:val="44"/>
          <w:szCs w:val="44"/>
        </w:rPr>
      </w:pPr>
      <w:r>
        <w:rPr>
          <w:rStyle w:val="19"/>
          <w:sz w:val="44"/>
          <w:szCs w:val="44"/>
        </w:rPr>
        <w:t>黔东南苗族侗族自治州委员会</w:t>
      </w:r>
    </w:p>
    <w:p>
      <w:pPr>
        <w:pStyle w:val="23"/>
        <w:spacing w:before="0" w:beforeAutospacing="0" w:after="0" w:afterAutospacing="0" w:line="600" w:lineRule="exact"/>
        <w:jc w:val="center"/>
        <w:rPr>
          <w:rStyle w:val="19"/>
          <w:rFonts w:hint="eastAsia"/>
          <w:sz w:val="44"/>
          <w:szCs w:val="44"/>
        </w:rPr>
      </w:pPr>
      <w:r>
        <w:rPr>
          <w:rStyle w:val="19"/>
          <w:sz w:val="44"/>
          <w:szCs w:val="44"/>
        </w:rPr>
        <w:t>提</w:t>
      </w:r>
      <w:r>
        <w:rPr>
          <w:rStyle w:val="19"/>
          <w:rFonts w:hint="eastAsia"/>
          <w:sz w:val="44"/>
          <w:szCs w:val="44"/>
        </w:rPr>
        <w:t xml:space="preserve">   </w:t>
      </w:r>
      <w:r>
        <w:rPr>
          <w:rStyle w:val="19"/>
          <w:sz w:val="44"/>
          <w:szCs w:val="44"/>
        </w:rPr>
        <w:t>案</w:t>
      </w:r>
    </w:p>
    <w:p>
      <w:pPr>
        <w:spacing w:line="320" w:lineRule="exact"/>
        <w:jc w:val="center"/>
        <w:textAlignment w:val="top"/>
        <w:rPr>
          <w:rStyle w:val="19"/>
          <w:rFonts w:hint="eastAsia" w:ascii="宋体" w:hAnsi="宋体"/>
          <w:kern w:val="0"/>
          <w:sz w:val="24"/>
        </w:rPr>
      </w:pPr>
    </w:p>
    <w:p>
      <w:pPr>
        <w:spacing w:line="320" w:lineRule="exact"/>
        <w:jc w:val="center"/>
        <w:textAlignment w:val="top"/>
        <w:rPr>
          <w:rStyle w:val="19"/>
          <w:rFonts w:hint="eastAsia" w:ascii="宋体" w:hAnsi="宋体"/>
          <w:kern w:val="0"/>
          <w:sz w:val="24"/>
        </w:rPr>
      </w:pPr>
    </w:p>
    <w:p>
      <w:pPr>
        <w:spacing w:line="760" w:lineRule="exact"/>
        <w:jc w:val="both"/>
        <w:textAlignment w:val="top"/>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9"/>
          <w:rFonts w:hint="default" w:ascii="宋体" w:hAnsi="宋体" w:eastAsia="宋体"/>
          <w:kern w:val="0"/>
          <w:sz w:val="24"/>
          <w:lang w:val="en-US" w:eastAsia="zh-CN"/>
        </w:rPr>
      </w:pPr>
      <w:r>
        <w:rPr>
          <w:rStyle w:val="19"/>
          <w:rFonts w:ascii="宋体" w:hAnsi="宋体"/>
          <w:kern w:val="0"/>
          <w:sz w:val="24"/>
        </w:rPr>
        <w:t>第十</w:t>
      </w:r>
      <w:r>
        <w:rPr>
          <w:rStyle w:val="19"/>
          <w:rFonts w:hint="eastAsia" w:ascii="宋体" w:hAnsi="宋体"/>
          <w:kern w:val="0"/>
          <w:sz w:val="24"/>
          <w:lang w:val="en-US" w:eastAsia="zh-CN"/>
        </w:rPr>
        <w:t>三</w:t>
      </w:r>
      <w:r>
        <w:rPr>
          <w:rStyle w:val="19"/>
          <w:rFonts w:ascii="宋体" w:hAnsi="宋体"/>
          <w:kern w:val="0"/>
          <w:sz w:val="24"/>
        </w:rPr>
        <w:t>届第</w:t>
      </w:r>
      <w:r>
        <w:rPr>
          <w:rStyle w:val="19"/>
          <w:rFonts w:hint="eastAsia" w:ascii="宋体" w:hAnsi="宋体"/>
          <w:kern w:val="0"/>
          <w:sz w:val="24"/>
          <w:lang w:val="en-US" w:eastAsia="zh-CN"/>
        </w:rPr>
        <w:t>一</w:t>
      </w:r>
      <w:r>
        <w:rPr>
          <w:rStyle w:val="19"/>
          <w:rFonts w:ascii="宋体" w:hAnsi="宋体"/>
          <w:kern w:val="0"/>
          <w:sz w:val="24"/>
        </w:rPr>
        <w:t>次会议　       　第</w:t>
      </w:r>
      <w:r>
        <w:rPr>
          <w:rStyle w:val="19"/>
          <w:rFonts w:hint="eastAsia" w:ascii="宋体" w:hAnsi="宋体"/>
          <w:kern w:val="0"/>
          <w:sz w:val="24"/>
          <w:lang w:val="en-US" w:eastAsia="zh-CN"/>
        </w:rPr>
        <w:t>014</w:t>
      </w:r>
      <w:r>
        <w:rPr>
          <w:rStyle w:val="19"/>
          <w:rFonts w:ascii="宋体" w:hAnsi="宋体"/>
          <w:kern w:val="0"/>
          <w:sz w:val="24"/>
        </w:rPr>
        <w:t xml:space="preserve">号　    </w:t>
      </w:r>
      <w:r>
        <w:rPr>
          <w:rStyle w:val="19"/>
          <w:rFonts w:hint="eastAsia" w:ascii="宋体" w:hAnsi="宋体"/>
          <w:kern w:val="0"/>
          <w:sz w:val="24"/>
        </w:rPr>
        <w:t xml:space="preserve">    </w:t>
      </w:r>
      <w:r>
        <w:rPr>
          <w:rStyle w:val="19"/>
          <w:rFonts w:hint="eastAsia" w:ascii="宋体" w:hAnsi="宋体"/>
          <w:kern w:val="0"/>
          <w:sz w:val="24"/>
          <w:lang w:val="en-US" w:eastAsia="zh-CN"/>
        </w:rPr>
        <w:t xml:space="preserve"> 类别：政治建设类     </w:t>
      </w:r>
    </w:p>
    <w:p>
      <w:pPr>
        <w:spacing w:line="320" w:lineRule="exact"/>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15"/>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案</w:t>
            </w:r>
            <w:r>
              <w:rPr>
                <w:rStyle w:val="19"/>
                <w:rFonts w:ascii="宋体" w:hAnsi="宋体" w:eastAsia="黑体" w:cs="宋体"/>
                <w:b/>
                <w:bCs/>
                <w:kern w:val="0"/>
                <w:sz w:val="24"/>
              </w:rPr>
              <w:t>  </w:t>
            </w:r>
            <w:r>
              <w:rPr>
                <w:rStyle w:val="19"/>
                <w:rFonts w:ascii="黑体" w:hAnsi="宋体" w:eastAsia="黑体" w:cs="宋体"/>
                <w:b/>
                <w:bCs/>
                <w:kern w:val="0"/>
                <w:sz w:val="24"/>
              </w:rPr>
              <w:t>由</w:t>
            </w:r>
            <w:r>
              <w:rPr>
                <w:rStyle w:val="19"/>
                <w:rFonts w:ascii="宋体" w:hAnsi="宋体" w:cs="宋体"/>
                <w:b/>
                <w:bCs/>
                <w:kern w:val="0"/>
                <w:sz w:val="24"/>
              </w:rPr>
              <w:t>：</w:t>
            </w:r>
          </w:p>
        </w:tc>
        <w:tc>
          <w:tcPr>
            <w:tcW w:w="6797" w:type="dxa"/>
            <w:gridSpan w:val="3"/>
            <w:vAlign w:val="center"/>
          </w:tcPr>
          <w:p>
            <w:pPr>
              <w:jc w:val="left"/>
              <w:rPr>
                <w:rStyle w:val="19"/>
                <w:rFonts w:ascii="宋体" w:hAnsi="宋体" w:cs="宋体"/>
                <w:b/>
                <w:bCs/>
                <w:kern w:val="0"/>
                <w:sz w:val="24"/>
              </w:rPr>
            </w:pPr>
            <w:r>
              <w:rPr>
                <w:rFonts w:hint="eastAsia" w:ascii="Times New Roman" w:hAnsi="Times New Roman" w:eastAsia="宋体" w:cs="Times New Roman"/>
                <w:b/>
                <w:bCs/>
                <w:kern w:val="0"/>
                <w:sz w:val="22"/>
                <w:szCs w:val="22"/>
                <w:lang w:val="en-US" w:eastAsia="zh-CN"/>
              </w:rPr>
              <w:t>关于加强养老服务体系建设的建议</w:t>
            </w:r>
          </w:p>
        </w:tc>
      </w:tr>
      <w:tr>
        <w:tc>
          <w:tcPr>
            <w:tcW w:w="1753" w:type="dxa"/>
            <w:vAlign w:val="center"/>
          </w:tcPr>
          <w:p>
            <w:pPr>
              <w:jc w:val="left"/>
              <w:rPr>
                <w:rStyle w:val="19"/>
                <w:rFonts w:ascii="宋体" w:hAnsi="宋体"/>
                <w:kern w:val="0"/>
                <w:sz w:val="24"/>
              </w:rPr>
            </w:pPr>
            <w:r>
              <w:rPr>
                <w:rStyle w:val="19"/>
                <w:rFonts w:ascii="黑体" w:hAnsi="宋体" w:eastAsia="黑体" w:cs="宋体"/>
                <w:b/>
                <w:bCs/>
                <w:kern w:val="0"/>
                <w:sz w:val="24"/>
              </w:rPr>
              <w:t>审查意见</w:t>
            </w:r>
            <w:r>
              <w:rPr>
                <w:rStyle w:val="19"/>
                <w:rFonts w:ascii="宋体" w:hAnsi="宋体" w:cs="宋体"/>
                <w:b/>
                <w:bCs/>
                <w:kern w:val="0"/>
                <w:sz w:val="24"/>
              </w:rPr>
              <w:t>：</w:t>
            </w:r>
          </w:p>
        </w:tc>
        <w:tc>
          <w:tcPr>
            <w:tcW w:w="6797" w:type="dxa"/>
            <w:gridSpan w:val="3"/>
            <w:vAlign w:val="center"/>
          </w:tcPr>
          <w:p>
            <w:pPr>
              <w:jc w:val="left"/>
              <w:rPr>
                <w:rStyle w:val="19"/>
                <w:rFonts w:hint="default" w:ascii="宋体" w:hAnsi="宋体"/>
                <w:kern w:val="0"/>
                <w:sz w:val="24"/>
                <w:lang w:val="en-US" w:eastAsia="zh-CN"/>
              </w:rPr>
            </w:pPr>
            <w:r>
              <w:rPr>
                <w:rStyle w:val="19"/>
                <w:rFonts w:hint="eastAsia" w:ascii="宋体" w:hAnsi="宋体"/>
                <w:kern w:val="0"/>
                <w:sz w:val="24"/>
                <w:szCs w:val="24"/>
                <w:lang w:eastAsia="zh-CN"/>
              </w:rPr>
              <w:t>主办：州民政局</w:t>
            </w:r>
            <w:r>
              <w:rPr>
                <w:rStyle w:val="19"/>
                <w:rFonts w:hint="eastAsia" w:ascii="宋体" w:hAnsi="宋体"/>
                <w:kern w:val="0"/>
                <w:sz w:val="24"/>
                <w:szCs w:val="24"/>
                <w:lang w:val="en-US" w:eastAsia="zh-CN"/>
              </w:rPr>
              <w:t xml:space="preserve">   会办：州卫生健康局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9"/>
                <w:rFonts w:ascii="黑体" w:hAnsi="宋体" w:eastAsia="黑体"/>
                <w:kern w:val="0"/>
                <w:sz w:val="24"/>
              </w:rPr>
            </w:pPr>
            <w:r>
              <w:rPr>
                <w:rStyle w:val="19"/>
                <w:rFonts w:ascii="黑体" w:hAnsi="宋体" w:eastAsia="黑体" w:cs="宋体"/>
                <w:b/>
                <w:bCs/>
                <w:kern w:val="0"/>
                <w:sz w:val="24"/>
              </w:rPr>
              <w:t>提</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案</w:t>
            </w:r>
            <w:r>
              <w:rPr>
                <w:rStyle w:val="19"/>
                <w:rFonts w:hint="eastAsia" w:ascii="黑体" w:hAnsi="宋体" w:eastAsia="黑体" w:cs="宋体"/>
                <w:b/>
                <w:bCs/>
                <w:kern w:val="0"/>
                <w:sz w:val="24"/>
                <w:lang w:val="en-US" w:eastAsia="zh-CN"/>
              </w:rPr>
              <w:t xml:space="preserve"> </w:t>
            </w:r>
            <w:r>
              <w:rPr>
                <w:rStyle w:val="19"/>
                <w:rFonts w:ascii="黑体" w:hAnsi="宋体" w:eastAsia="黑体" w:cs="宋体"/>
                <w:b/>
                <w:bCs/>
                <w:kern w:val="0"/>
                <w:sz w:val="24"/>
              </w:rPr>
              <w:t>人</w:t>
            </w:r>
            <w:r>
              <w:rPr>
                <w:rStyle w:val="19"/>
                <w:rFonts w:ascii="宋体" w:hAnsi="宋体" w:eastAsia="黑体" w:cs="宋体"/>
                <w:b/>
                <w:bCs/>
                <w:kern w:val="0"/>
                <w:sz w:val="24"/>
              </w:rPr>
              <w:t>：</w:t>
            </w:r>
          </w:p>
        </w:tc>
        <w:tc>
          <w:tcPr>
            <w:tcW w:w="3872" w:type="dxa"/>
            <w:vAlign w:val="center"/>
          </w:tcPr>
          <w:p>
            <w:pPr>
              <w:jc w:val="left"/>
              <w:rPr>
                <w:rStyle w:val="19"/>
                <w:rFonts w:ascii="宋体" w:hAnsi="宋体"/>
                <w:kern w:val="0"/>
                <w:sz w:val="24"/>
              </w:rPr>
            </w:pPr>
            <w:r>
              <w:rPr>
                <w:rStyle w:val="19"/>
                <w:rFonts w:ascii="宋体" w:hAnsi="宋体" w:cs="宋体"/>
                <w:b/>
                <w:bCs/>
                <w:kern w:val="0"/>
                <w:sz w:val="24"/>
              </w:rPr>
              <w:t>通讯地址</w:t>
            </w:r>
          </w:p>
        </w:tc>
        <w:tc>
          <w:tcPr>
            <w:tcW w:w="1440" w:type="dxa"/>
            <w:vAlign w:val="center"/>
          </w:tcPr>
          <w:p>
            <w:pPr>
              <w:jc w:val="left"/>
              <w:rPr>
                <w:rStyle w:val="19"/>
                <w:rFonts w:ascii="宋体" w:hAnsi="宋体"/>
                <w:kern w:val="0"/>
                <w:sz w:val="24"/>
              </w:rPr>
            </w:pPr>
            <w:r>
              <w:rPr>
                <w:rStyle w:val="19"/>
                <w:rFonts w:ascii="宋体" w:hAnsi="宋体" w:cs="宋体"/>
                <w:b/>
                <w:bCs/>
                <w:kern w:val="0"/>
                <w:sz w:val="24"/>
              </w:rPr>
              <w:t>邮政编码</w:t>
            </w:r>
          </w:p>
        </w:tc>
        <w:tc>
          <w:tcPr>
            <w:tcW w:w="1485" w:type="dxa"/>
            <w:vAlign w:val="center"/>
          </w:tcPr>
          <w:p>
            <w:pPr>
              <w:jc w:val="left"/>
              <w:rPr>
                <w:rStyle w:val="19"/>
                <w:rFonts w:ascii="宋体" w:hAnsi="宋体"/>
                <w:kern w:val="0"/>
                <w:sz w:val="24"/>
              </w:rPr>
            </w:pPr>
            <w:r>
              <w:rPr>
                <w:rStyle w:val="19"/>
                <w:rFonts w:ascii="宋体" w:hAnsi="宋体" w:cs="宋体"/>
                <w:b/>
                <w:bCs/>
                <w:kern w:val="0"/>
                <w:sz w:val="24"/>
              </w:rPr>
              <w:t>联系电话</w:t>
            </w:r>
          </w:p>
        </w:tc>
      </w:tr>
      <w:tr>
        <w:tc>
          <w:tcPr>
            <w:tcW w:w="1753" w:type="dxa"/>
            <w:vAlign w:val="center"/>
          </w:tcPr>
          <w:p>
            <w:pPr>
              <w:jc w:val="left"/>
              <w:rPr>
                <w:rStyle w:val="19"/>
                <w:rFonts w:hint="eastAsia" w:ascii="宋体" w:hAnsi="宋体" w:eastAsia="宋体"/>
                <w:kern w:val="0"/>
                <w:sz w:val="24"/>
                <w:lang w:eastAsia="zh-CN"/>
              </w:rPr>
            </w:pPr>
            <w:r>
              <w:rPr>
                <w:rStyle w:val="19"/>
                <w:rFonts w:hint="eastAsia" w:ascii="宋体" w:hAnsi="宋体"/>
                <w:kern w:val="0"/>
                <w:sz w:val="21"/>
                <w:szCs w:val="21"/>
                <w:lang w:eastAsia="zh-CN"/>
              </w:rPr>
              <w:t>农工党黔东南州工委</w:t>
            </w:r>
          </w:p>
        </w:tc>
        <w:tc>
          <w:tcPr>
            <w:tcW w:w="3872"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农工党黔东南州工委</w:t>
            </w:r>
          </w:p>
        </w:tc>
        <w:tc>
          <w:tcPr>
            <w:tcW w:w="1440"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rPr>
              <w:t>55</w:t>
            </w:r>
            <w:r>
              <w:rPr>
                <w:rStyle w:val="19"/>
                <w:rFonts w:hint="eastAsia" w:ascii="宋体" w:hAnsi="宋体"/>
                <w:kern w:val="0"/>
                <w:sz w:val="24"/>
                <w:lang w:val="en-US" w:eastAsia="zh-CN"/>
              </w:rPr>
              <w:t>6000</w:t>
            </w:r>
          </w:p>
        </w:tc>
        <w:tc>
          <w:tcPr>
            <w:tcW w:w="1485" w:type="dxa"/>
            <w:vAlign w:val="center"/>
          </w:tcPr>
          <w:p>
            <w:pPr>
              <w:jc w:val="left"/>
              <w:rPr>
                <w:rStyle w:val="19"/>
                <w:rFonts w:hint="default" w:ascii="宋体" w:hAnsi="宋体" w:eastAsia="宋体"/>
                <w:kern w:val="0"/>
                <w:sz w:val="24"/>
                <w:lang w:val="en-US" w:eastAsia="zh-CN"/>
              </w:rPr>
            </w:pPr>
            <w:r>
              <w:rPr>
                <w:rStyle w:val="19"/>
                <w:rFonts w:hint="eastAsia" w:ascii="宋体" w:hAnsi="宋体"/>
                <w:kern w:val="0"/>
                <w:sz w:val="24"/>
                <w:lang w:val="en-US" w:eastAsia="zh-CN"/>
              </w:rPr>
              <w:t>13765529333</w:t>
            </w:r>
          </w:p>
        </w:tc>
      </w:tr>
      <w:tr>
        <w:tblPrEx>
          <w:tblCellMar>
            <w:top w:w="0" w:type="dxa"/>
            <w:left w:w="15" w:type="dxa"/>
            <w:bottom w:w="0" w:type="dxa"/>
            <w:right w:w="15" w:type="dxa"/>
          </w:tblCellMar>
        </w:tblPrEx>
        <w:tc>
          <w:tcPr>
            <w:tcW w:w="1753" w:type="dxa"/>
            <w:vAlign w:val="center"/>
          </w:tcPr>
          <w:p>
            <w:pPr>
              <w:jc w:val="left"/>
              <w:rPr>
                <w:rStyle w:val="19"/>
                <w:rFonts w:hint="eastAsia" w:ascii="宋体" w:hAnsi="宋体" w:eastAsia="宋体"/>
                <w:kern w:val="0"/>
                <w:sz w:val="24"/>
                <w:lang w:eastAsia="zh-CN"/>
              </w:rPr>
            </w:pPr>
            <w:r>
              <w:rPr>
                <w:rStyle w:val="19"/>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9"/>
                <w:rFonts w:hint="eastAsia" w:ascii="宋体" w:hAnsi="宋体"/>
                <w:kern w:val="0"/>
                <w:sz w:val="24"/>
                <w:lang w:val="en-US" w:eastAsia="zh-CN"/>
              </w:rPr>
            </w:pPr>
            <w:r>
              <w:rPr>
                <w:rStyle w:val="19"/>
                <w:rFonts w:hint="eastAsia" w:ascii="宋体" w:hAnsi="宋体"/>
                <w:kern w:val="0"/>
                <w:sz w:val="24"/>
                <w:lang w:eastAsia="zh-CN"/>
              </w:rPr>
              <w:t>州委办秘书五科：</w:t>
            </w:r>
            <w:r>
              <w:rPr>
                <w:rStyle w:val="19"/>
                <w:rFonts w:hint="eastAsia" w:ascii="宋体" w:hAnsi="宋体"/>
                <w:kern w:val="0"/>
                <w:sz w:val="24"/>
                <w:lang w:val="en-US" w:eastAsia="zh-CN"/>
              </w:rPr>
              <w:t>8270060；</w:t>
            </w:r>
            <w:r>
              <w:rPr>
                <w:rStyle w:val="19"/>
                <w:rFonts w:hint="eastAsia" w:ascii="宋体" w:hAnsi="宋体"/>
                <w:kern w:val="0"/>
                <w:sz w:val="24"/>
                <w:lang w:eastAsia="zh-CN"/>
              </w:rPr>
              <w:t>州政府办建议提案科：</w:t>
            </w:r>
            <w:r>
              <w:rPr>
                <w:rStyle w:val="19"/>
                <w:rFonts w:hint="eastAsia" w:ascii="宋体" w:hAnsi="宋体"/>
                <w:kern w:val="0"/>
                <w:sz w:val="24"/>
                <w:lang w:val="en-US" w:eastAsia="zh-CN"/>
              </w:rPr>
              <w:t>8260016；</w:t>
            </w:r>
          </w:p>
          <w:p>
            <w:pPr>
              <w:jc w:val="left"/>
              <w:rPr>
                <w:rStyle w:val="19"/>
                <w:rFonts w:hint="default" w:ascii="宋体" w:hAnsi="宋体"/>
                <w:kern w:val="0"/>
                <w:sz w:val="24"/>
                <w:lang w:val="en-US"/>
              </w:rPr>
            </w:pPr>
            <w:r>
              <w:rPr>
                <w:rStyle w:val="19"/>
                <w:rFonts w:hint="eastAsia" w:ascii="宋体" w:hAnsi="宋体"/>
                <w:kern w:val="0"/>
                <w:sz w:val="24"/>
                <w:lang w:eastAsia="zh-CN"/>
              </w:rPr>
              <w:t>州政协提案委：</w:t>
            </w:r>
            <w:r>
              <w:rPr>
                <w:rStyle w:val="19"/>
                <w:rFonts w:hint="eastAsia" w:ascii="宋体" w:hAnsi="宋体"/>
                <w:kern w:val="0"/>
                <w:sz w:val="24"/>
                <w:lang w:val="en-US" w:eastAsia="zh-CN"/>
              </w:rPr>
              <w:t>8428866</w:t>
            </w:r>
            <w:r>
              <w:rPr>
                <w:rStyle w:val="19"/>
                <w:rFonts w:hint="eastAsia" w:ascii="宋体" w:hAnsi="宋体"/>
                <w:kern w:val="0"/>
                <w:sz w:val="24"/>
                <w:lang w:eastAsia="zh-CN"/>
              </w:rPr>
              <w:t>。</w:t>
            </w:r>
          </w:p>
        </w:tc>
      </w:tr>
    </w:tbl>
    <w:p>
      <w:pPr>
        <w:jc w:val="left"/>
        <w:rPr>
          <w:rStyle w:val="19"/>
          <w:rFonts w:ascii="宋体" w:hAnsi="宋体"/>
          <w:kern w:val="0"/>
          <w:sz w:val="24"/>
        </w:rPr>
      </w:pPr>
      <w:r>
        <w:rPr>
          <w:rStyle w:val="19"/>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9"/>
          <w:rFonts w:hint="eastAsia" w:ascii="仿宋_GB2312" w:hAnsi="宋体" w:eastAsia="仿宋_GB2312"/>
          <w:kern w:val="0"/>
          <w:sz w:val="32"/>
          <w:szCs w:val="32"/>
        </w:rPr>
      </w:pPr>
      <w:r>
        <w:rPr>
          <w:rStyle w:val="19"/>
          <w:rFonts w:hint="eastAsia" w:ascii="仿宋_GB2312" w:hAnsi="宋体" w:eastAsia="仿宋_GB2312"/>
          <w:kern w:val="0"/>
          <w:sz w:val="32"/>
          <w:szCs w:val="32"/>
        </w:rPr>
        <w:t>内容和办法</w:t>
      </w:r>
      <w:r>
        <w:rPr>
          <w:rStyle w:val="19"/>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720" w:firstLineChars="225"/>
        <w:jc w:val="both"/>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仿宋_GB2312" w:hAnsi="Times New Roman" w:eastAsia="仿宋_GB2312"/>
          <w:b w:val="0"/>
          <w:i w:val="0"/>
          <w:caps w:val="0"/>
          <w:color w:val="000000"/>
          <w:spacing w:val="0"/>
          <w:w w:val="100"/>
          <w:kern w:val="0"/>
          <w:sz w:val="32"/>
          <w:szCs w:val="32"/>
          <w:lang w:val="en-US" w:eastAsia="zh-CN" w:bidi="ar-SA"/>
        </w:rPr>
        <w:t>随着人口老龄化社会的到来，老龄人口对养老服务的需求与养老服务业相对滞后的矛盾日趋突出，2020年第七次人口普查</w:t>
      </w:r>
      <w:r>
        <w:rPr>
          <w:rStyle w:val="19"/>
          <w:rFonts w:hint="eastAsia" w:ascii="仿宋_GB2312" w:eastAsia="仿宋_GB2312"/>
          <w:b w:val="0"/>
          <w:i w:val="0"/>
          <w:caps w:val="0"/>
          <w:color w:val="000000"/>
          <w:spacing w:val="0"/>
          <w:w w:val="100"/>
          <w:kern w:val="0"/>
          <w:sz w:val="32"/>
          <w:szCs w:val="32"/>
          <w:lang w:val="en-US" w:eastAsia="zh-CN" w:bidi="ar-SA"/>
        </w:rPr>
        <w:t>我</w:t>
      </w:r>
      <w:r>
        <w:rPr>
          <w:rStyle w:val="19"/>
          <w:rFonts w:ascii="仿宋_GB2312" w:hAnsi="Times New Roman" w:eastAsia="仿宋_GB2312"/>
          <w:b w:val="0"/>
          <w:i w:val="0"/>
          <w:caps w:val="0"/>
          <w:color w:val="000000"/>
          <w:spacing w:val="0"/>
          <w:w w:val="100"/>
          <w:kern w:val="0"/>
          <w:sz w:val="32"/>
          <w:szCs w:val="32"/>
          <w:lang w:val="en-US" w:eastAsia="zh-CN" w:bidi="ar-SA"/>
        </w:rPr>
        <w:t>州常住人口375.8622万人。其中60岁以上常住人口64.25万人，占常住人口总数的17.09%（高出全省1.9%），65岁以上常住人口49.2289万人，占常住人口总数的13.10%。按照国际通用标准，60周岁以上老年人占总人口比例大于10%或65周岁以上老年人比重超过7%，便可称为老龄化社会。黔东南州老龄人口呈现出规模大、增长速度快、日趋高龄化的特点，城乡养老已成为一个重大社会现实问题。</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9"/>
          <w:rFonts w:ascii="黑体" w:hAnsi="Times New Roman" w:eastAsia="黑体"/>
          <w:b w:val="0"/>
          <w:i w:val="0"/>
          <w:caps w:val="0"/>
          <w:color w:val="000000"/>
          <w:spacing w:val="0"/>
          <w:w w:val="100"/>
          <w:kern w:val="2"/>
          <w:sz w:val="32"/>
          <w:szCs w:val="32"/>
          <w:lang w:val="en-US" w:eastAsia="zh-CN" w:bidi="ar-SA"/>
        </w:rPr>
      </w:pPr>
      <w:r>
        <w:rPr>
          <w:rStyle w:val="19"/>
          <w:rFonts w:ascii="黑体" w:hAnsi="Times New Roman" w:eastAsia="黑体"/>
          <w:b w:val="0"/>
          <w:i w:val="0"/>
          <w:caps w:val="0"/>
          <w:color w:val="000000"/>
          <w:spacing w:val="0"/>
          <w:w w:val="100"/>
          <w:kern w:val="0"/>
          <w:sz w:val="32"/>
          <w:szCs w:val="32"/>
          <w:lang w:val="en-US" w:eastAsia="zh-CN" w:bidi="ar-SA"/>
        </w:rPr>
        <w:t>一、当前养老服务体系建设存在的主要困难和问题</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（一）社会及老年人养老观念有待转变。</w:t>
      </w:r>
      <w:r>
        <w:rPr>
          <w:rStyle w:val="19"/>
          <w:rFonts w:ascii="仿宋_GB2312" w:hAnsi="Times New Roman" w:eastAsia="仿宋_GB2312"/>
          <w:b w:val="0"/>
          <w:i w:val="0"/>
          <w:caps w:val="0"/>
          <w:color w:val="000000"/>
          <w:spacing w:val="0"/>
          <w:w w:val="100"/>
          <w:kern w:val="0"/>
          <w:sz w:val="32"/>
          <w:szCs w:val="32"/>
          <w:lang w:val="en-US" w:eastAsia="zh-CN" w:bidi="ar-SA"/>
        </w:rPr>
        <w:t>绝大多数老年人对入住养老机构意愿不高，大部分老人受传统敬老院模式和“养儿防老”观念影响，大多数家庭和老人还没有形成花钱买服务观念，养老观念还没有得到根本改变。</w:t>
      </w:r>
    </w:p>
    <w:p>
      <w:pPr>
        <w:pStyle w:val="24"/>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Style w:val="19"/>
          <w:rFonts w:ascii="仿宋_GB2312" w:hAnsi="Calibri" w:eastAsia="仿宋_GB2312"/>
          <w:b w:val="0"/>
          <w:i w:val="0"/>
          <w:caps w:val="0"/>
          <w:color w:val="000000"/>
          <w:spacing w:val="0"/>
          <w:w w:val="100"/>
          <w:kern w:val="0"/>
          <w:sz w:val="32"/>
          <w:szCs w:val="32"/>
          <w:lang w:val="en-US" w:eastAsia="zh-CN" w:bidi="ar-SA"/>
        </w:rPr>
      </w:pPr>
      <w:r>
        <w:rPr>
          <w:rStyle w:val="19"/>
          <w:rFonts w:ascii="楷体_GB2312" w:hAnsi="Calibri" w:eastAsia="楷体_GB2312" w:cs="楷体_GB2312"/>
          <w:b/>
          <w:bCs/>
          <w:i w:val="0"/>
          <w:caps w:val="0"/>
          <w:color w:val="000000"/>
          <w:spacing w:val="0"/>
          <w:w w:val="100"/>
          <w:kern w:val="0"/>
          <w:sz w:val="32"/>
          <w:szCs w:val="32"/>
          <w:lang w:val="en-US" w:eastAsia="zh-CN" w:bidi="ar-SA"/>
        </w:rPr>
        <w:t>（二）养老设施建设与新建住宅小区建设规划不同步。</w:t>
      </w:r>
      <w:r>
        <w:rPr>
          <w:rStyle w:val="19"/>
          <w:rFonts w:ascii="仿宋_GB2312" w:hAnsi="Calibri" w:eastAsia="仿宋_GB2312"/>
          <w:b w:val="0"/>
          <w:i w:val="0"/>
          <w:caps w:val="0"/>
          <w:color w:val="000000"/>
          <w:spacing w:val="0"/>
          <w:w w:val="100"/>
          <w:kern w:val="0"/>
          <w:sz w:val="32"/>
          <w:szCs w:val="32"/>
          <w:lang w:val="en-US" w:eastAsia="zh-CN" w:bidi="ar-SA"/>
        </w:rPr>
        <w:t>一些新建社区或住宅区没有很好地落实养老设施与住宅同步规划、同步建设、同步验收、同步交付使用等规定，导致部分新建社区无养老服务场所或建设面积达不到标准。</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（三）养老服务体系建设资金投入不足。</w:t>
      </w:r>
      <w:r>
        <w:rPr>
          <w:rStyle w:val="19"/>
          <w:rFonts w:ascii="仿宋_GB2312" w:hAnsi="Times New Roman" w:eastAsia="仿宋_GB2312"/>
          <w:b w:val="0"/>
          <w:i w:val="0"/>
          <w:caps w:val="0"/>
          <w:color w:val="000000"/>
          <w:spacing w:val="0"/>
          <w:w w:val="100"/>
          <w:kern w:val="0"/>
          <w:sz w:val="32"/>
          <w:szCs w:val="32"/>
          <w:lang w:val="en-US" w:eastAsia="zh-CN" w:bidi="ar-SA"/>
        </w:rPr>
        <w:t>由于财政困难，专项资金没有及时拨付，造成部分养老机构建设严重滞后甚至停工，没能投入使用。</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（四）政策扶持力度不够。</w:t>
      </w:r>
      <w:r>
        <w:rPr>
          <w:rStyle w:val="19"/>
          <w:rFonts w:ascii="仿宋_GB2312" w:hAnsi="Times New Roman" w:eastAsia="仿宋_GB2312"/>
          <w:b w:val="0"/>
          <w:i w:val="0"/>
          <w:caps w:val="0"/>
          <w:color w:val="000000"/>
          <w:spacing w:val="0"/>
          <w:w w:val="100"/>
          <w:kern w:val="0"/>
          <w:sz w:val="32"/>
          <w:szCs w:val="32"/>
          <w:lang w:val="en-US" w:eastAsia="zh-CN" w:bidi="ar-SA"/>
        </w:rPr>
        <w:t>用地难、启动资金大、利润薄是制约养老事业发展的重要瓶颈。社会资本举办民办养老机构在土地、税费等方面的优惠政策较少，手续繁杂。</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（五）养老服务队伍人才匮乏。</w:t>
      </w:r>
      <w:r>
        <w:rPr>
          <w:rStyle w:val="19"/>
          <w:rFonts w:ascii="仿宋_GB2312" w:hAnsi="Times New Roman" w:eastAsia="仿宋_GB2312"/>
          <w:b w:val="0"/>
          <w:i w:val="0"/>
          <w:caps w:val="0"/>
          <w:color w:val="000000"/>
          <w:spacing w:val="0"/>
          <w:w w:val="100"/>
          <w:kern w:val="0"/>
          <w:sz w:val="32"/>
          <w:szCs w:val="32"/>
          <w:lang w:val="en-US" w:eastAsia="zh-CN" w:bidi="ar-SA"/>
        </w:rPr>
        <w:t>现有社会养老服务队伍总体素质不高，平均年龄偏大，专业人才不足。</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960" w:firstLineChars="300"/>
        <w:jc w:val="both"/>
        <w:textAlignment w:val="baseline"/>
        <w:rPr>
          <w:rStyle w:val="19"/>
          <w:rFonts w:ascii="黑体" w:hAnsi="Times New Roman" w:eastAsia="黑体"/>
          <w:b w:val="0"/>
          <w:i w:val="0"/>
          <w:caps w:val="0"/>
          <w:color w:val="000000"/>
          <w:spacing w:val="0"/>
          <w:w w:val="100"/>
          <w:kern w:val="0"/>
          <w:sz w:val="32"/>
          <w:szCs w:val="32"/>
          <w:lang w:val="en-US" w:eastAsia="zh-CN" w:bidi="ar-SA"/>
        </w:rPr>
      </w:pPr>
      <w:r>
        <w:rPr>
          <w:rStyle w:val="19"/>
          <w:rFonts w:ascii="黑体" w:hAnsi="Times New Roman" w:eastAsia="黑体"/>
          <w:b w:val="0"/>
          <w:i w:val="0"/>
          <w:caps w:val="0"/>
          <w:color w:val="000000"/>
          <w:spacing w:val="0"/>
          <w:w w:val="100"/>
          <w:kern w:val="0"/>
          <w:sz w:val="32"/>
          <w:szCs w:val="32"/>
          <w:lang w:val="en-US" w:eastAsia="zh-CN" w:bidi="ar-SA"/>
        </w:rPr>
        <w:t>二、几点建议</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（一）健立建全养老服务工作机制体制，认真贯彻实施相关法律法规。</w:t>
      </w:r>
      <w:r>
        <w:rPr>
          <w:rStyle w:val="19"/>
          <w:rFonts w:ascii="仿宋_GB2312" w:hAnsi="Times New Roman" w:eastAsia="仿宋_GB2312"/>
          <w:b w:val="0"/>
          <w:i w:val="0"/>
          <w:caps w:val="0"/>
          <w:color w:val="000000"/>
          <w:spacing w:val="0"/>
          <w:w w:val="100"/>
          <w:kern w:val="0"/>
          <w:sz w:val="32"/>
          <w:szCs w:val="32"/>
          <w:lang w:val="en-US" w:eastAsia="zh-CN" w:bidi="ar-SA"/>
        </w:rPr>
        <w:t>高度重视养老服务工作，定期研究养老服务重要政策、重要工作、改革创新重点事项，将养老服务工作、养老服务建设项目分别纳入年度综合考核和政府民生实事内容，统一部署，统筹安排，同步实施。认真贯彻实施《中华人民共和国老年人权益保障法》《贵州省养老服务条例》，民政、健康卫生、发改、财政、自然资源、住房城乡建设、医保等部门要依法履行好各自养老服务工作范围内的职责，协调配合，制定完善各项标准，促进养老服务社会化、规范化、标准化发展。</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（二）积极探索多元化养老服务体系，大力兴办养老服务机构。</w:t>
      </w:r>
      <w:r>
        <w:rPr>
          <w:rStyle w:val="19"/>
          <w:rFonts w:ascii="仿宋_GB2312" w:hAnsi="Times New Roman" w:eastAsia="仿宋_GB2312"/>
          <w:b w:val="0"/>
          <w:i w:val="0"/>
          <w:caps w:val="0"/>
          <w:color w:val="000000"/>
          <w:spacing w:val="0"/>
          <w:w w:val="100"/>
          <w:kern w:val="0"/>
          <w:sz w:val="32"/>
          <w:szCs w:val="32"/>
          <w:lang w:val="en-US" w:eastAsia="zh-CN" w:bidi="ar-SA"/>
        </w:rPr>
        <w:t>要积极探索多元化养老服务模式，鼓励养老服务机构与医疗机构以多种形式合作，为老年人提供多样化、多层次的医养结合服务。</w:t>
      </w:r>
      <w:r>
        <w:rPr>
          <w:rStyle w:val="19"/>
          <w:rFonts w:ascii="仿宋_GB2312" w:hAnsi="Times New Roman" w:eastAsia="仿宋_GB2312" w:cs="仿宋_GB2312"/>
          <w:b/>
          <w:bCs/>
          <w:i w:val="0"/>
          <w:caps w:val="0"/>
          <w:color w:val="000000"/>
          <w:spacing w:val="0"/>
          <w:w w:val="100"/>
          <w:kern w:val="0"/>
          <w:sz w:val="32"/>
          <w:szCs w:val="32"/>
          <w:lang w:val="en-US" w:eastAsia="zh-CN" w:bidi="ar-SA"/>
        </w:rPr>
        <w:t>一是</w:t>
      </w:r>
      <w:r>
        <w:rPr>
          <w:rStyle w:val="19"/>
          <w:rFonts w:ascii="仿宋_GB2312" w:hAnsi="Times New Roman" w:eastAsia="仿宋_GB2312"/>
          <w:b w:val="0"/>
          <w:i w:val="0"/>
          <w:caps w:val="0"/>
          <w:color w:val="000000"/>
          <w:spacing w:val="0"/>
          <w:w w:val="100"/>
          <w:kern w:val="0"/>
          <w:sz w:val="32"/>
          <w:szCs w:val="32"/>
          <w:lang w:val="en-US" w:eastAsia="zh-CN" w:bidi="ar-SA"/>
        </w:rPr>
        <w:t>坚持居家社区养老服务。鼓励企事业单位、社会团体或者个人投资成立居家社区养老服务组织，为居家社区老人提供养老服务。</w:t>
      </w:r>
      <w:r>
        <w:rPr>
          <w:rStyle w:val="19"/>
          <w:rFonts w:ascii="仿宋_GB2312" w:hAnsi="Times New Roman" w:eastAsia="仿宋_GB2312" w:cs="仿宋_GB2312"/>
          <w:b/>
          <w:bCs/>
          <w:i w:val="0"/>
          <w:caps w:val="0"/>
          <w:color w:val="000000"/>
          <w:spacing w:val="0"/>
          <w:w w:val="100"/>
          <w:kern w:val="0"/>
          <w:sz w:val="32"/>
          <w:szCs w:val="32"/>
          <w:lang w:val="en-US" w:eastAsia="zh-CN" w:bidi="ar-SA"/>
        </w:rPr>
        <w:t>二是</w:t>
      </w:r>
      <w:r>
        <w:rPr>
          <w:rStyle w:val="19"/>
          <w:rFonts w:ascii="仿宋_GB2312" w:hAnsi="Times New Roman" w:eastAsia="仿宋_GB2312"/>
          <w:b w:val="0"/>
          <w:i w:val="0"/>
          <w:caps w:val="0"/>
          <w:color w:val="000000"/>
          <w:spacing w:val="0"/>
          <w:w w:val="100"/>
          <w:kern w:val="0"/>
          <w:sz w:val="32"/>
          <w:szCs w:val="32"/>
          <w:lang w:val="en-US" w:eastAsia="zh-CN" w:bidi="ar-SA"/>
        </w:rPr>
        <w:t>切实办好公办养老机构。在满足特困老人集中供养需求的前提下，重点为经济困难失能（失智）、计划生育特殊家庭提供无偿或者低收费托养服务。有剩余床位的，可以向社会开放。鼓励医疗机构、乡村医生、乡镇卫生院和养老机构中的护理人员上门为老人提供康复、护理等服务。</w:t>
      </w:r>
      <w:r>
        <w:rPr>
          <w:rStyle w:val="19"/>
          <w:rFonts w:ascii="仿宋_GB2312" w:hAnsi="Times New Roman" w:eastAsia="仿宋_GB2312" w:cs="仿宋_GB2312"/>
          <w:b/>
          <w:bCs/>
          <w:i w:val="0"/>
          <w:caps w:val="0"/>
          <w:color w:val="000000"/>
          <w:spacing w:val="0"/>
          <w:w w:val="100"/>
          <w:kern w:val="0"/>
          <w:sz w:val="32"/>
          <w:szCs w:val="32"/>
          <w:lang w:val="en-US" w:eastAsia="zh-CN" w:bidi="ar-SA"/>
        </w:rPr>
        <w:t>三是</w:t>
      </w:r>
      <w:r>
        <w:rPr>
          <w:rStyle w:val="19"/>
          <w:rFonts w:ascii="仿宋_GB2312" w:hAnsi="Times New Roman" w:eastAsia="仿宋_GB2312"/>
          <w:b w:val="0"/>
          <w:i w:val="0"/>
          <w:caps w:val="0"/>
          <w:color w:val="000000"/>
          <w:spacing w:val="0"/>
          <w:w w:val="100"/>
          <w:kern w:val="0"/>
          <w:sz w:val="32"/>
          <w:szCs w:val="32"/>
          <w:lang w:val="en-US" w:eastAsia="zh-CN" w:bidi="ar-SA"/>
        </w:rPr>
        <w:t>鼓励社会力量兴办养老机构，最大限度满足不同层次、不同人群、跨地区养老服务需求。在健全基本养老服务的基础上，大力发展普惠型养老服务，支持家庭承担养老主要功能，构建居家社区机构相协调、医养康养相结合的养老服务体系。</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jc w:val="both"/>
        <w:textAlignment w:val="baseline"/>
        <w:rPr>
          <w:rStyle w:val="19"/>
          <w:rFonts w:hint="default" w:ascii="仿宋_GB2312" w:hAnsi="Times New Roman" w:eastAsia="仿宋_GB2312"/>
          <w:b w:val="0"/>
          <w:i w:val="0"/>
          <w:caps w:val="0"/>
          <w:color w:val="000000"/>
          <w:spacing w:val="0"/>
          <w:w w:val="100"/>
          <w:kern w:val="0"/>
          <w:sz w:val="32"/>
          <w:szCs w:val="32"/>
          <w:u w:val="single" w:color="auto"/>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（三）进一步加大投入，大力扶持养老服务业的发展。</w:t>
      </w:r>
      <w:r>
        <w:rPr>
          <w:rStyle w:val="19"/>
          <w:rFonts w:ascii="仿宋_GB2312" w:hAnsi="Times New Roman" w:eastAsia="仿宋_GB2312" w:cs="仿宋_GB2312"/>
          <w:b/>
          <w:bCs/>
          <w:i w:val="0"/>
          <w:caps w:val="0"/>
          <w:color w:val="000000"/>
          <w:spacing w:val="0"/>
          <w:w w:val="100"/>
          <w:kern w:val="0"/>
          <w:sz w:val="32"/>
          <w:szCs w:val="32"/>
          <w:lang w:val="en-US" w:eastAsia="zh-CN" w:bidi="ar-SA"/>
        </w:rPr>
        <w:t>一是</w:t>
      </w:r>
      <w:r>
        <w:rPr>
          <w:rStyle w:val="19"/>
          <w:rFonts w:ascii="仿宋_GB2312" w:hAnsi="Times New Roman" w:eastAsia="仿宋_GB2312"/>
          <w:b w:val="0"/>
          <w:i w:val="0"/>
          <w:caps w:val="0"/>
          <w:color w:val="000000"/>
          <w:spacing w:val="0"/>
          <w:w w:val="100"/>
          <w:kern w:val="0"/>
          <w:sz w:val="32"/>
          <w:szCs w:val="32"/>
          <w:lang w:val="en-US" w:eastAsia="zh-CN" w:bidi="ar-SA"/>
        </w:rPr>
        <w:t>要将养老服务事业发展所需经费列入同级财政预算，建立稳定、有效的经费保障机制，对上级专项经费要拨付到位，不得挪用，同时用好福彩公益金。</w:t>
      </w:r>
      <w:r>
        <w:rPr>
          <w:rStyle w:val="19"/>
          <w:rFonts w:ascii="仿宋_GB2312" w:hAnsi="Times New Roman" w:eastAsia="仿宋_GB2312" w:cs="仿宋_GB2312"/>
          <w:b/>
          <w:bCs/>
          <w:i w:val="0"/>
          <w:caps w:val="0"/>
          <w:color w:val="000000"/>
          <w:spacing w:val="0"/>
          <w:w w:val="100"/>
          <w:kern w:val="0"/>
          <w:sz w:val="32"/>
          <w:szCs w:val="32"/>
          <w:lang w:val="en-US" w:eastAsia="zh-CN" w:bidi="ar-SA"/>
        </w:rPr>
        <w:t>二是</w:t>
      </w:r>
      <w:r>
        <w:rPr>
          <w:rStyle w:val="19"/>
          <w:rFonts w:ascii="仿宋_GB2312" w:hAnsi="Times New Roman" w:eastAsia="仿宋_GB2312"/>
          <w:b w:val="0"/>
          <w:i w:val="0"/>
          <w:caps w:val="0"/>
          <w:color w:val="000000"/>
          <w:spacing w:val="0"/>
          <w:w w:val="100"/>
          <w:kern w:val="0"/>
          <w:sz w:val="32"/>
          <w:szCs w:val="32"/>
          <w:lang w:val="en-US" w:eastAsia="zh-CN" w:bidi="ar-SA"/>
        </w:rPr>
        <w:t>着力推进公建民营模式，可以在明晰产权的基础上，由民间力量管理经营。</w:t>
      </w:r>
      <w:r>
        <w:rPr>
          <w:rStyle w:val="19"/>
          <w:rFonts w:ascii="仿宋_GB2312" w:hAnsi="Times New Roman" w:eastAsia="仿宋_GB2312" w:cs="仿宋_GB2312"/>
          <w:b/>
          <w:bCs/>
          <w:i w:val="0"/>
          <w:caps w:val="0"/>
          <w:color w:val="000000"/>
          <w:spacing w:val="0"/>
          <w:w w:val="100"/>
          <w:kern w:val="0"/>
          <w:sz w:val="32"/>
          <w:szCs w:val="32"/>
          <w:lang w:val="en-US" w:eastAsia="zh-CN" w:bidi="ar-SA"/>
        </w:rPr>
        <w:t>三是</w:t>
      </w:r>
      <w:r>
        <w:rPr>
          <w:rStyle w:val="19"/>
          <w:rFonts w:ascii="仿宋_GB2312" w:hAnsi="Times New Roman" w:eastAsia="仿宋_GB2312"/>
          <w:b w:val="0"/>
          <w:i w:val="0"/>
          <w:caps w:val="0"/>
          <w:color w:val="000000"/>
          <w:spacing w:val="0"/>
          <w:w w:val="100"/>
          <w:kern w:val="0"/>
          <w:sz w:val="32"/>
          <w:szCs w:val="32"/>
          <w:lang w:val="en-US" w:eastAsia="zh-CN" w:bidi="ar-SA"/>
        </w:rPr>
        <w:t>力争出台鼓励社会力量发展养老服务事业的各项优惠政策及措施，积极拓宽筹资渠道，扩大民间融资，鼓励民间资本和社会力量参与养老服务基础设施建设和运营，在财力允许的前提下，逐步提高养老机构一次性建设补贴和运营补贴的标准。</w:t>
      </w:r>
      <w:r>
        <w:rPr>
          <w:rStyle w:val="19"/>
          <w:rFonts w:ascii="仿宋_GB2312" w:hAnsi="Times New Roman" w:eastAsia="仿宋_GB2312"/>
          <w:b w:val="0"/>
          <w:i w:val="0"/>
          <w:caps w:val="0"/>
          <w:color w:val="000000"/>
          <w:spacing w:val="0"/>
          <w:w w:val="100"/>
          <w:kern w:val="0"/>
          <w:sz w:val="32"/>
          <w:szCs w:val="32"/>
          <w:u w:val="none" w:color="auto"/>
          <w:lang w:val="en-US" w:eastAsia="zh-CN" w:bidi="ar-SA"/>
        </w:rPr>
        <w:t>进一步提升自然人、法人等市场主体活力，形成开放、竞争、公平、有序的养老服务市场，做活做优社会养老服务机构，做大做强社会养老服务产业。</w:t>
      </w:r>
      <w:r>
        <w:rPr>
          <w:rStyle w:val="19"/>
          <w:rFonts w:ascii="仿宋_GB2312" w:hAnsi="Times New Roman" w:eastAsia="仿宋_GB2312" w:cs="仿宋_GB2312"/>
          <w:b/>
          <w:bCs/>
          <w:i w:val="0"/>
          <w:caps w:val="0"/>
          <w:color w:val="000000"/>
          <w:spacing w:val="0"/>
          <w:w w:val="100"/>
          <w:kern w:val="0"/>
          <w:sz w:val="32"/>
          <w:szCs w:val="32"/>
          <w:lang w:val="en-US" w:eastAsia="zh-CN" w:bidi="ar-SA"/>
        </w:rPr>
        <w:t>四是</w:t>
      </w:r>
      <w:r>
        <w:rPr>
          <w:rStyle w:val="19"/>
          <w:rFonts w:ascii="仿宋_GB2312" w:hAnsi="Times New Roman" w:eastAsia="仿宋_GB2312"/>
          <w:b w:val="0"/>
          <w:i w:val="0"/>
          <w:caps w:val="0"/>
          <w:color w:val="000000"/>
          <w:spacing w:val="0"/>
          <w:w w:val="100"/>
          <w:kern w:val="0"/>
          <w:sz w:val="32"/>
          <w:szCs w:val="32"/>
          <w:lang w:val="en-US" w:eastAsia="zh-CN" w:bidi="ar-SA"/>
        </w:rPr>
        <w:t>根据地方养老需求实际，编制养老服务设施布局专项规划。在编制土地利用年度计划时，保障养老服务设施建设用地。</w:t>
      </w:r>
      <w:r>
        <w:rPr>
          <w:rStyle w:val="19"/>
          <w:rFonts w:ascii="仿宋_GB2312" w:hAnsi="Times New Roman" w:eastAsia="仿宋_GB2312"/>
          <w:b w:val="0"/>
          <w:i w:val="0"/>
          <w:caps w:val="0"/>
          <w:color w:val="000000"/>
          <w:spacing w:val="0"/>
          <w:w w:val="100"/>
          <w:kern w:val="0"/>
          <w:sz w:val="32"/>
          <w:szCs w:val="32"/>
          <w:u w:val="none" w:color="auto"/>
          <w:lang w:val="en-US" w:eastAsia="zh-CN" w:bidi="ar-SA"/>
        </w:rPr>
        <w:t>对新建设的城镇居住区应当以每百户不低于20平方米的标准建设配套养老服务设施，对已建成的城镇居住区无养老服务设施或者养老服务设施未达到规划要求和建设标准的，应当按照每百户不低于15平方米的标准，通过新建、改建、购置、置换、租赁等方式配置。配套养老服务设施应当与住宅建设项目同步规划、同步建设、同步竣工、同步交付使用。</w:t>
      </w:r>
      <w:r>
        <w:rPr>
          <w:rStyle w:val="19"/>
          <w:rFonts w:hint="eastAsia" w:ascii="仿宋_GB2312" w:eastAsia="仿宋_GB2312"/>
          <w:b/>
          <w:bCs/>
          <w:i w:val="0"/>
          <w:caps w:val="0"/>
          <w:color w:val="000000"/>
          <w:spacing w:val="0"/>
          <w:w w:val="100"/>
          <w:kern w:val="0"/>
          <w:sz w:val="32"/>
          <w:szCs w:val="32"/>
          <w:u w:val="none" w:color="auto"/>
          <w:lang w:val="en-US" w:eastAsia="zh-CN" w:bidi="ar-SA"/>
        </w:rPr>
        <w:t>五是</w:t>
      </w:r>
      <w:r>
        <w:rPr>
          <w:rStyle w:val="19"/>
          <w:rFonts w:hint="eastAsia" w:ascii="仿宋_GB2312" w:eastAsia="仿宋_GB2312"/>
          <w:b w:val="0"/>
          <w:i w:val="0"/>
          <w:caps w:val="0"/>
          <w:color w:val="000000"/>
          <w:spacing w:val="0"/>
          <w:w w:val="100"/>
          <w:kern w:val="0"/>
          <w:sz w:val="32"/>
          <w:szCs w:val="32"/>
          <w:u w:val="none" w:color="auto"/>
          <w:lang w:val="en-US" w:eastAsia="zh-CN" w:bidi="ar-SA"/>
        </w:rPr>
        <w:t xml:space="preserve">对尚未完工老年养护楼项目要加快建设进度，确保按时完工，尽早投入使用。 </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Style w:val="19"/>
          <w:rFonts w:ascii="仿宋_GB2312" w:hAnsi="Times New Roman" w:eastAsia="仿宋_GB2312"/>
          <w:b w:val="0"/>
          <w:i w:val="0"/>
          <w:caps w:val="0"/>
          <w:color w:val="000000"/>
          <w:spacing w:val="0"/>
          <w:w w:val="100"/>
          <w:kern w:val="0"/>
          <w:sz w:val="32"/>
          <w:szCs w:val="32"/>
          <w:lang w:val="en-US" w:eastAsia="zh-CN" w:bidi="ar-SA"/>
        </w:rPr>
      </w:pPr>
      <w:r>
        <w:rPr>
          <w:rStyle w:val="19"/>
          <w:rFonts w:ascii="楷体_GB2312" w:hAnsi="Times New Roman" w:eastAsia="楷体_GB2312" w:cs="楷体_GB2312"/>
          <w:b/>
          <w:bCs/>
          <w:i w:val="0"/>
          <w:caps w:val="0"/>
          <w:color w:val="000000"/>
          <w:spacing w:val="0"/>
          <w:w w:val="100"/>
          <w:kern w:val="0"/>
          <w:sz w:val="32"/>
          <w:szCs w:val="32"/>
          <w:lang w:val="en-US" w:eastAsia="zh-CN" w:bidi="ar-SA"/>
        </w:rPr>
        <w:t>（</w:t>
      </w:r>
      <w:r>
        <w:rPr>
          <w:rStyle w:val="19"/>
          <w:rFonts w:hint="eastAsia" w:ascii="楷体_GB2312" w:eastAsia="楷体_GB2312" w:cs="楷体_GB2312"/>
          <w:b/>
          <w:bCs/>
          <w:i w:val="0"/>
          <w:caps w:val="0"/>
          <w:color w:val="000000"/>
          <w:spacing w:val="0"/>
          <w:w w:val="100"/>
          <w:kern w:val="0"/>
          <w:sz w:val="32"/>
          <w:szCs w:val="32"/>
          <w:lang w:val="en-US" w:eastAsia="zh-CN" w:bidi="ar-SA"/>
        </w:rPr>
        <w:t>四</w:t>
      </w:r>
      <w:r>
        <w:rPr>
          <w:rStyle w:val="19"/>
          <w:rFonts w:ascii="楷体_GB2312" w:hAnsi="Times New Roman" w:eastAsia="楷体_GB2312" w:cs="楷体_GB2312"/>
          <w:b/>
          <w:bCs/>
          <w:i w:val="0"/>
          <w:caps w:val="0"/>
          <w:color w:val="000000"/>
          <w:spacing w:val="0"/>
          <w:w w:val="100"/>
          <w:kern w:val="0"/>
          <w:sz w:val="32"/>
          <w:szCs w:val="32"/>
          <w:lang w:val="en-US" w:eastAsia="zh-CN" w:bidi="ar-SA"/>
        </w:rPr>
        <w:t>）加强培训，强化养老服务队伍建设。</w:t>
      </w:r>
      <w:r>
        <w:rPr>
          <w:rStyle w:val="19"/>
          <w:rFonts w:ascii="仿宋_GB2312" w:hAnsi="Times New Roman" w:eastAsia="仿宋_GB2312" w:cs="仿宋_GB2312"/>
          <w:b/>
          <w:bCs/>
          <w:i w:val="0"/>
          <w:caps w:val="0"/>
          <w:color w:val="000000"/>
          <w:spacing w:val="0"/>
          <w:w w:val="100"/>
          <w:kern w:val="0"/>
          <w:sz w:val="32"/>
          <w:szCs w:val="32"/>
          <w:lang w:val="en-US" w:eastAsia="zh-CN" w:bidi="ar-SA"/>
        </w:rPr>
        <w:t>一是</w:t>
      </w:r>
      <w:r>
        <w:rPr>
          <w:rStyle w:val="19"/>
          <w:rFonts w:ascii="仿宋_GB2312" w:hAnsi="Times New Roman" w:eastAsia="仿宋_GB2312"/>
          <w:b w:val="0"/>
          <w:i w:val="0"/>
          <w:caps w:val="0"/>
          <w:color w:val="000000"/>
          <w:spacing w:val="0"/>
          <w:w w:val="100"/>
          <w:kern w:val="0"/>
          <w:sz w:val="32"/>
          <w:szCs w:val="32"/>
          <w:lang w:val="en-US" w:eastAsia="zh-CN" w:bidi="ar-SA"/>
        </w:rPr>
        <w:t>建立健全养老服务专业人才教育培训体系，支持高等院校、职业院校开设老年医学、康复护理等相关专业或者课程，支持职业院校建设养老服务实训基地，借助养老服务机构平台设立教学实习基地，有计划地分期分批进行培训，提升养老机构服务人员服务意识、职业道德、服务技术水平。</w:t>
      </w:r>
      <w:r>
        <w:rPr>
          <w:rStyle w:val="19"/>
          <w:rFonts w:ascii="仿宋_GB2312" w:hAnsi="Times New Roman" w:eastAsia="仿宋_GB2312" w:cs="仿宋_GB2312"/>
          <w:b/>
          <w:bCs/>
          <w:i w:val="0"/>
          <w:caps w:val="0"/>
          <w:color w:val="000000"/>
          <w:spacing w:val="0"/>
          <w:w w:val="100"/>
          <w:kern w:val="0"/>
          <w:sz w:val="32"/>
          <w:szCs w:val="32"/>
          <w:lang w:val="en-US" w:eastAsia="zh-CN" w:bidi="ar-SA"/>
        </w:rPr>
        <w:t>二是</w:t>
      </w:r>
      <w:r>
        <w:rPr>
          <w:rStyle w:val="19"/>
          <w:rFonts w:ascii="仿宋_GB2312" w:hAnsi="Times New Roman" w:eastAsia="仿宋_GB2312"/>
          <w:b w:val="0"/>
          <w:i w:val="0"/>
          <w:caps w:val="0"/>
          <w:color w:val="000000"/>
          <w:spacing w:val="0"/>
          <w:w w:val="100"/>
          <w:kern w:val="0"/>
          <w:sz w:val="32"/>
          <w:szCs w:val="32"/>
          <w:lang w:val="en-US" w:eastAsia="zh-CN" w:bidi="ar-SA"/>
        </w:rPr>
        <w:t>建立养老人才入职补贴、岗位补贴和社保补贴制度，探索建立养老服务人员薪酬增长机制，提高福利待遇，同时鼓励社会志愿者参与各种养老志愿服务，逐步形成专兼结合的养老服务队伍，为老年人提供优质服务，为实现养老标准化职业化打好基础。</w:t>
      </w:r>
    </w:p>
    <w:p>
      <w:pPr>
        <w:spacing w:line="560" w:lineRule="exact"/>
        <w:ind w:left="0" w:leftChars="0" w:firstLine="640" w:firstLineChars="200"/>
        <w:rPr>
          <w:rStyle w:val="19"/>
          <w:rFonts w:hint="eastAsia"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注：1、提案会办单位需将会办意见送主办单位，由主办单位连同《提案答复件》《征询意见表》一并抄送州政协；（涉及目标考核）</w:t>
      </w:r>
    </w:p>
    <w:p>
      <w:pPr>
        <w:spacing w:line="560" w:lineRule="exact"/>
        <w:ind w:left="0" w:leftChars="0" w:firstLine="640" w:firstLineChars="200"/>
        <w:rPr>
          <w:rStyle w:val="19"/>
          <w:rFonts w:hint="default" w:ascii="仿宋_GB2312" w:hAnsi="宋体" w:eastAsia="仿宋_GB2312"/>
          <w:kern w:val="0"/>
          <w:sz w:val="32"/>
          <w:szCs w:val="32"/>
          <w:lang w:val="en-US" w:eastAsia="zh-CN"/>
        </w:rPr>
      </w:pPr>
      <w:r>
        <w:rPr>
          <w:rStyle w:val="19"/>
          <w:rFonts w:hint="eastAsia" w:ascii="仿宋_GB2312" w:hAnsi="宋体" w:eastAsia="仿宋_GB2312"/>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1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Style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C23FF"/>
    <w:multiLevelType w:val="multilevel"/>
    <w:tmpl w:val="1D6C23FF"/>
    <w:lvl w:ilvl="0" w:tentative="0">
      <w:start w:val="1"/>
      <w:numFmt w:val="chineseCounting"/>
      <w:suff w:val="nothing"/>
      <w:lvlText w:val="%1、"/>
      <w:lvlJc w:val="left"/>
      <w:pPr>
        <w:tabs>
          <w:tab w:val="left" w:pos="0"/>
        </w:tabs>
        <w:ind w:firstLine="40"/>
      </w:pPr>
      <w:rPr>
        <w:rFonts w:hint="eastAsia" w:ascii="Times New Roman" w:hAnsi="Times New Roman" w:eastAsia="黑体" w:cs="宋体"/>
        <w:sz w:val="32"/>
        <w:szCs w:val="32"/>
      </w:rPr>
    </w:lvl>
    <w:lvl w:ilvl="1" w:tentative="0">
      <w:start w:val="1"/>
      <w:numFmt w:val="chineseCounting"/>
      <w:suff w:val="nothing"/>
      <w:lvlText w:val="（%2）"/>
      <w:lvlJc w:val="left"/>
      <w:pPr>
        <w:tabs>
          <w:tab w:val="left" w:pos="0"/>
        </w:tabs>
      </w:pPr>
      <w:rPr>
        <w:rFonts w:hint="eastAsia" w:cs="Times New Roman"/>
      </w:rPr>
    </w:lvl>
    <w:lvl w:ilvl="2" w:tentative="0">
      <w:start w:val="1"/>
      <w:numFmt w:val="decimal"/>
      <w:pStyle w:val="4"/>
      <w:suff w:val="nothing"/>
      <w:lvlText w:val="%3．"/>
      <w:lvlJc w:val="left"/>
      <w:pPr>
        <w:ind w:firstLine="400"/>
      </w:pPr>
      <w:rPr>
        <w:rFonts w:hint="eastAsia" w:cs="Times New Roman"/>
      </w:rPr>
    </w:lvl>
    <w:lvl w:ilvl="3" w:tentative="0">
      <w:start w:val="1"/>
      <w:numFmt w:val="decimal"/>
      <w:suff w:val="nothing"/>
      <w:lvlText w:val="（%4）"/>
      <w:lvlJc w:val="left"/>
      <w:pPr>
        <w:ind w:firstLine="402"/>
      </w:pPr>
      <w:rPr>
        <w:rFonts w:hint="eastAsia" w:cs="Times New Roman"/>
      </w:rPr>
    </w:lvl>
    <w:lvl w:ilvl="4" w:tentative="0">
      <w:start w:val="1"/>
      <w:numFmt w:val="decimalEnclosedCircleChinese"/>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lowerLetter"/>
      <w:suff w:val="nothing"/>
      <w:lvlText w:val="%7．"/>
      <w:lvlJc w:val="left"/>
      <w:pPr>
        <w:ind w:firstLine="402"/>
      </w:pPr>
      <w:rPr>
        <w:rFonts w:hint="eastAsia" w:cs="Times New Roman"/>
      </w:rPr>
    </w:lvl>
    <w:lvl w:ilvl="7" w:tentative="0">
      <w:start w:val="1"/>
      <w:numFmt w:val="lowerLetter"/>
      <w:suff w:val="nothing"/>
      <w:lvlText w:val="%8）"/>
      <w:lvlJc w:val="left"/>
      <w:pPr>
        <w:ind w:firstLine="402"/>
      </w:pPr>
      <w:rPr>
        <w:rFonts w:hint="eastAsia" w:cs="Times New Roman"/>
      </w:rPr>
    </w:lvl>
    <w:lvl w:ilvl="8" w:tentative="0">
      <w:start w:val="1"/>
      <w:numFmt w:val="lowerRoman"/>
      <w:suff w:val="nothing"/>
      <w:lvlText w:val="%9 "/>
      <w:lvlJc w:val="left"/>
      <w:pPr>
        <w:ind w:firstLine="402"/>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B66956"/>
    <w:rsid w:val="10B40BCC"/>
    <w:rsid w:val="118823F2"/>
    <w:rsid w:val="18EC1E64"/>
    <w:rsid w:val="1BAB45FA"/>
    <w:rsid w:val="20E366FE"/>
    <w:rsid w:val="21EA0B57"/>
    <w:rsid w:val="29EB237C"/>
    <w:rsid w:val="2FD84B80"/>
    <w:rsid w:val="30B878C9"/>
    <w:rsid w:val="33552650"/>
    <w:rsid w:val="377737A4"/>
    <w:rsid w:val="38D60616"/>
    <w:rsid w:val="3A7B4D73"/>
    <w:rsid w:val="3BE7499D"/>
    <w:rsid w:val="3E214FA6"/>
    <w:rsid w:val="3F1A5C90"/>
    <w:rsid w:val="42F10C9F"/>
    <w:rsid w:val="43345C87"/>
    <w:rsid w:val="493508EE"/>
    <w:rsid w:val="497C7186"/>
    <w:rsid w:val="4A196944"/>
    <w:rsid w:val="4F1E6C2C"/>
    <w:rsid w:val="4F6B5D70"/>
    <w:rsid w:val="507F065A"/>
    <w:rsid w:val="5236789E"/>
    <w:rsid w:val="559F1A55"/>
    <w:rsid w:val="5A7C34BF"/>
    <w:rsid w:val="5AA17385"/>
    <w:rsid w:val="5B7C24C8"/>
    <w:rsid w:val="5E7C7E34"/>
    <w:rsid w:val="61895CCF"/>
    <w:rsid w:val="66F35DD9"/>
    <w:rsid w:val="6854075C"/>
    <w:rsid w:val="69A37ABB"/>
    <w:rsid w:val="762A4BFD"/>
    <w:rsid w:val="7B7EC3A2"/>
    <w:rsid w:val="7C1F064D"/>
    <w:rsid w:val="7DBB9FDA"/>
    <w:rsid w:val="7E6E4452"/>
    <w:rsid w:val="7FE0122B"/>
    <w:rsid w:val="7FFF2EBA"/>
    <w:rsid w:val="FA87AF83"/>
    <w:rsid w:val="FCB3B790"/>
    <w:rsid w:val="FEEF87BA"/>
    <w:rsid w:val="FF7FF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3"/>
    <w:basedOn w:val="1"/>
    <w:next w:val="1"/>
    <w:qFormat/>
    <w:uiPriority w:val="99"/>
    <w:pPr>
      <w:keepNext/>
      <w:keepLines/>
      <w:numPr>
        <w:ilvl w:val="2"/>
        <w:numId w:val="1"/>
      </w:numPr>
      <w:tabs>
        <w:tab w:val="left" w:pos="0"/>
      </w:tabs>
      <w:spacing w:line="413" w:lineRule="auto"/>
      <w:outlineLvl w:val="2"/>
    </w:pPr>
    <w:rPr>
      <w:b/>
      <w:sz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99"/>
    <w:pPr>
      <w:ind w:firstLine="200" w:firstLineChars="200"/>
    </w:pPr>
    <w:rPr>
      <w:rFonts w:ascii="Calibri" w:hAnsi="Calibri"/>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table of authorities"/>
    <w:basedOn w:val="1"/>
    <w:next w:val="1"/>
    <w:qFormat/>
    <w:uiPriority w:val="0"/>
    <w:pPr>
      <w:ind w:left="420" w:leftChars="200"/>
    </w:pPr>
    <w:rPr>
      <w:szCs w:val="20"/>
    </w:rPr>
  </w:style>
  <w:style w:type="paragraph" w:styleId="6">
    <w:name w:val="Body Text"/>
    <w:basedOn w:val="1"/>
    <w:next w:val="4"/>
    <w:qFormat/>
    <w:uiPriority w:val="99"/>
    <w:pPr>
      <w:spacing w:afterAutospacing="1"/>
      <w:ind w:left="101"/>
    </w:pPr>
    <w:rPr>
      <w:rFonts w:ascii="宋体" w:hAnsi="宋体"/>
      <w:sz w:val="29"/>
      <w:szCs w:val="29"/>
    </w:rPr>
  </w:style>
  <w:style w:type="paragraph" w:styleId="7">
    <w:name w:val="Body Text Indent"/>
    <w:basedOn w:val="1"/>
    <w:next w:val="6"/>
    <w:qFormat/>
    <w:uiPriority w:val="99"/>
    <w:pPr>
      <w:spacing w:after="120"/>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Indent 3"/>
    <w:basedOn w:val="1"/>
    <w:qFormat/>
    <w:uiPriority w:val="99"/>
    <w:pPr>
      <w:ind w:left="200" w:leftChars="200"/>
    </w:pPr>
    <w:rPr>
      <w:sz w:val="16"/>
    </w:rPr>
  </w:style>
  <w:style w:type="paragraph" w:styleId="10">
    <w:name w:val="footer"/>
    <w:basedOn w:val="1"/>
    <w:link w:val="29"/>
    <w:qFormat/>
    <w:uiPriority w:val="99"/>
    <w:pPr>
      <w:snapToGrid w:val="0"/>
      <w:jc w:val="left"/>
    </w:pPr>
    <w:rPr>
      <w:sz w:val="18"/>
      <w:szCs w:val="18"/>
    </w:rPr>
  </w:style>
  <w:style w:type="paragraph" w:styleId="11">
    <w:name w:val="header"/>
    <w:basedOn w:val="1"/>
    <w:qFormat/>
    <w:uiPriority w:val="0"/>
    <w:pPr>
      <w:pBdr>
        <w:bottom w:val="single" w:color="000000" w:sz="6" w:space="0"/>
      </w:pBdr>
      <w:snapToGrid w:val="0"/>
      <w:jc w:val="center"/>
    </w:pPr>
    <w:rPr>
      <w:sz w:val="18"/>
      <w:szCs w:val="18"/>
    </w:rPr>
  </w:style>
  <w:style w:type="paragraph" w:styleId="12">
    <w:name w:val="footnote text"/>
    <w:basedOn w:val="1"/>
    <w:semiHidden/>
    <w:qFormat/>
    <w:uiPriority w:val="0"/>
    <w:pPr>
      <w:snapToGrid w:val="0"/>
      <w:jc w:val="left"/>
    </w:pPr>
    <w:rPr>
      <w:sz w:val="18"/>
      <w:szCs w:val="18"/>
    </w:r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7"/>
    <w:next w:val="1"/>
    <w:qFormat/>
    <w:uiPriority w:val="99"/>
    <w:pPr>
      <w:ind w:left="0" w:leftChars="0" w:firstLine="880" w:firstLineChars="200"/>
    </w:pPr>
    <w:rPr>
      <w:rFonts w:eastAsia="仿宋_GB2312"/>
    </w:rPr>
  </w:style>
  <w:style w:type="character" w:styleId="17">
    <w:name w:val="Strong"/>
    <w:qFormat/>
    <w:uiPriority w:val="0"/>
    <w:rPr>
      <w:rFonts w:cs="Times New Roman"/>
      <w:b/>
      <w:bCs/>
    </w:rPr>
  </w:style>
  <w:style w:type="character" w:styleId="18">
    <w:name w:val="Hyperlink"/>
    <w:basedOn w:val="19"/>
    <w:semiHidden/>
    <w:qFormat/>
    <w:uiPriority w:val="0"/>
    <w:rPr>
      <w:color w:val="0000FF"/>
      <w:u w:val="single"/>
    </w:rPr>
  </w:style>
  <w:style w:type="character" w:customStyle="1" w:styleId="19">
    <w:name w:val="NormalCharacter"/>
    <w:link w:val="1"/>
    <w:semiHidden/>
    <w:qFormat/>
    <w:uiPriority w:val="0"/>
    <w:rPr>
      <w:rFonts w:ascii="Times New Roman" w:hAnsi="Times New Roman" w:eastAsia="宋体" w:cstheme="minorBidi"/>
      <w:kern w:val="2"/>
      <w:sz w:val="21"/>
      <w:szCs w:val="24"/>
      <w:lang w:val="en-US" w:eastAsia="zh-CN" w:bidi="ar-SA"/>
    </w:rPr>
  </w:style>
  <w:style w:type="paragraph" w:customStyle="1" w:styleId="20">
    <w:name w:val="Heading1"/>
    <w:basedOn w:val="1"/>
    <w:link w:val="26"/>
    <w:qFormat/>
    <w:uiPriority w:val="0"/>
    <w:pPr>
      <w:spacing w:before="100" w:beforeAutospacing="1" w:after="100" w:afterAutospacing="1"/>
      <w:jc w:val="left"/>
    </w:pPr>
    <w:rPr>
      <w:rFonts w:ascii="宋体" w:hAnsi="宋体" w:cs="宋体"/>
      <w:b/>
      <w:bCs/>
      <w:kern w:val="36"/>
      <w:sz w:val="48"/>
      <w:szCs w:val="48"/>
    </w:rPr>
  </w:style>
  <w:style w:type="table" w:customStyle="1" w:styleId="21">
    <w:name w:val="TableNormal"/>
    <w:semiHidden/>
    <w:qFormat/>
    <w:uiPriority w:val="0"/>
    <w:tblPr>
      <w:tblCellMar>
        <w:top w:w="0" w:type="dxa"/>
        <w:left w:w="0" w:type="dxa"/>
        <w:bottom w:w="0" w:type="dxa"/>
        <w:right w:w="0" w:type="dxa"/>
      </w:tblCellMar>
    </w:tblPr>
  </w:style>
  <w:style w:type="paragraph" w:customStyle="1" w:styleId="22">
    <w:name w:val="Acetate"/>
    <w:basedOn w:val="1"/>
    <w:qFormat/>
    <w:uiPriority w:val="0"/>
    <w:rPr>
      <w:sz w:val="18"/>
      <w:szCs w:val="18"/>
    </w:rPr>
  </w:style>
  <w:style w:type="paragraph" w:customStyle="1" w:styleId="23">
    <w:name w:val="UserStyle_0"/>
    <w:basedOn w:val="1"/>
    <w:next w:val="24"/>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24">
    <w:name w:val="UserStyle_1"/>
    <w:basedOn w:val="23"/>
    <w:next w:val="1"/>
    <w:qFormat/>
    <w:uiPriority w:val="0"/>
    <w:pPr>
      <w:spacing w:before="100" w:beforeAutospacing="1" w:after="100" w:afterAutospacing="1"/>
      <w:jc w:val="left"/>
    </w:pPr>
    <w:rPr>
      <w:rFonts w:ascii="黑体" w:hAnsi="宋体" w:eastAsia="黑体" w:cs="宋体"/>
      <w:kern w:val="0"/>
      <w:sz w:val="54"/>
      <w:szCs w:val="54"/>
    </w:rPr>
  </w:style>
  <w:style w:type="paragraph" w:customStyle="1" w:styleId="25">
    <w:name w:val="UserStyle_2"/>
    <w:basedOn w:val="1"/>
    <w:qFormat/>
    <w:uiPriority w:val="0"/>
    <w:pPr>
      <w:spacing w:before="100" w:beforeAutospacing="1" w:after="100" w:afterAutospacing="1"/>
      <w:jc w:val="left"/>
    </w:pPr>
    <w:rPr>
      <w:rFonts w:ascii="宋体" w:hAnsi="宋体"/>
      <w:kern w:val="0"/>
      <w:sz w:val="24"/>
    </w:rPr>
  </w:style>
  <w:style w:type="character" w:customStyle="1" w:styleId="26">
    <w:name w:val="UserStyle_3"/>
    <w:basedOn w:val="19"/>
    <w:link w:val="20"/>
    <w:qFormat/>
    <w:uiPriority w:val="0"/>
    <w:rPr>
      <w:rFonts w:ascii="宋体" w:hAnsi="宋体" w:cs="宋体"/>
      <w:b/>
      <w:bCs/>
      <w:kern w:val="36"/>
      <w:sz w:val="48"/>
      <w:szCs w:val="48"/>
    </w:rPr>
  </w:style>
  <w:style w:type="character" w:customStyle="1" w:styleId="27">
    <w:name w:val="UserStyle_4"/>
    <w:basedOn w:val="19"/>
    <w:qFormat/>
    <w:uiPriority w:val="0"/>
  </w:style>
  <w:style w:type="paragraph" w:customStyle="1" w:styleId="28">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9">
    <w:name w:val="页脚 Char"/>
    <w:basedOn w:val="16"/>
    <w:link w:val="10"/>
    <w:qFormat/>
    <w:uiPriority w:val="99"/>
    <w:rPr>
      <w:rFonts w:cstheme="minorBidi"/>
      <w:kern w:val="2"/>
      <w:sz w:val="18"/>
      <w:szCs w:val="18"/>
    </w:rPr>
  </w:style>
  <w:style w:type="paragraph" w:customStyle="1" w:styleId="30">
    <w:name w:val="Body text|2"/>
    <w:basedOn w:val="1"/>
    <w:qFormat/>
    <w:uiPriority w:val="0"/>
    <w:pPr>
      <w:spacing w:after="300"/>
      <w:ind w:firstLine="740"/>
    </w:pPr>
    <w:rPr>
      <w:rFonts w:ascii="宋体" w:hAnsi="宋体" w:cs="宋体"/>
      <w:sz w:val="26"/>
      <w:szCs w:val="26"/>
      <w:lang w:val="zh-TW" w:eastAsia="zh-TW" w:bidi="zh-TW"/>
    </w:rPr>
  </w:style>
  <w:style w:type="paragraph" w:customStyle="1" w:styleId="31">
    <w:name w:val="正文文本首行缩进 2"/>
    <w:basedOn w:val="7"/>
    <w:qFormat/>
    <w:uiPriority w:val="0"/>
    <w:pPr>
      <w:ind w:firstLine="420" w:firstLineChars="200"/>
    </w:pPr>
    <w:rPr>
      <w:rFonts w:ascii="Calibri" w:hAnsi="Calibri" w:eastAsia="宋体" w:cs="宋体"/>
    </w:rPr>
  </w:style>
  <w:style w:type="paragraph" w:customStyle="1" w:styleId="32">
    <w:name w:val="BodyText2"/>
    <w:basedOn w:val="1"/>
    <w:qFormat/>
    <w:uiPriority w:val="0"/>
    <w:pPr>
      <w:widowControl/>
      <w:spacing w:after="120" w:line="480" w:lineRule="auto"/>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2318</Words>
  <Characters>2405</Characters>
  <Lines>14</Lines>
  <Paragraphs>4</Paragraphs>
  <TotalTime>2</TotalTime>
  <ScaleCrop>false</ScaleCrop>
  <LinksUpToDate>false</LinksUpToDate>
  <CharactersWithSpaces>2440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2021-01-13T20:51:00Z</dcterms:created>
  <dc:creator>Administrator</dc:creator>
  <cp:lastModifiedBy>丘丘</cp:lastModifiedBy>
  <cp:lastPrinted>2022-01-05T18:02:00Z</cp:lastPrinted>
  <dcterms:modified xsi:type="dcterms:W3CDTF">2022-03-29T03:11:43Z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